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240" w:after="240" w:line="240" w:lineRule="auto"/>
        <w:jc w:val="center"/>
      </w:pPr>
      <w:r>
        <w:rPr>
          <w:rFonts w:ascii="Times New Roman" w:eastAsia="Times New Roman" w:hAnsi="Times New Roman" w:cs="Traditional Arabic"/>
          <w:sz w:val="56"/>
          <w:szCs w:val="56"/>
        </w:rPr>
        <w:t xml:space="preserve">Implementation Process</w:t>
      </w:r>
    </w:p>
    <w:tbl>
      <w:tblPr>
        <w:tblW w:w="0" w:type="auto"/>
        <w:tblInd w:w="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00"/>
        <w:gridCol w:w="7300"/>
      </w:tblGrid>
      <w:tr>
        <w:tc>
          <w:tcPr>
            <w:tcW w:w="2400" w:type="dxa"/>
            <w:shd w:val="clear" w:color="auto" w:fill="4F81BD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PID/RFC/SD</w:t>
            </w:r>
          </w:p>
        </w:tc>
        <w:tc>
          <w:tcPr>
            <w:tcW w:w="7300" w:type="dxa"/>
            <w:shd w:val="clear" w:color="auto" w:fill="4F81BD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Change Description</w:t>
            </w:r>
          </w:p>
        </w:tc>
      </w:tr>
      <w:tr>
        <w:tc>
          <w:tcPr>
            <w:tcW w:w="2400" w:type="dxa"/>
            <w:shd w:val="clear" w:color="auto" w:fill="DCE6F1"/>
            <w:vAlign w:val="center"/>
          </w:tcPr>
          <w:p>
            <w:pPr>
              <w:spacing w:before="60" w:after="60" w:line="240" w:lineRule="auto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RFC XXXX</w:t>
            </w:r>
          </w:p>
        </w:tc>
        <w:tc>
          <w:tcPr>
            <w:tcW w:w="7300" w:type="dxa"/>
            <w:shd w:val="clear" w:color="auto" w:fill="DCE6F1"/>
            <w:vAlign w:val="center"/>
          </w:tcPr>
          <w:p>
            <w:pPr>
              <w:spacing w:before="60" w:after="60" w:line="24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Bankmaster Archival - CSD enquiry application. The VB6 CSD client and the cbcmssrv C server are withdrawn and replaced by bank-api, a Spring Boot enquiry API serving the React single-page application from the same jar. Enquiry only: every connection is read-only and every statement is a SELECT.</w:t>
            </w:r>
          </w:p>
        </w:tc>
      </w:tr>
    </w:tbl>
    <w:p>
      <w:pPr>
        <w:spacing w:before="360" w:after="240" w:line="240" w:lineRule="auto"/>
        <w:jc w:val="center"/>
      </w:pPr>
      <w:r>
        <w:rPr>
          <w:rFonts w:ascii="Calibri" w:eastAsia="Calibri" w:hAnsi="Calibri" w:cs="Calibri"/>
          <w:b/>
          <w:bCs/>
          <w:i/>
          <w:iCs/>
          <w:color w:val="4F81BD"/>
          <w:sz w:val="20"/>
          <w:szCs w:val="20"/>
        </w:rPr>
        <w:t xml:space="preserve">*Below are required items for Dar Al Arabi (Production Issues) Deployment in production:</w:t>
      </w:r>
    </w:p>
    <w:p>
      <w:pPr>
        <w:spacing w:before="200" w:after="100" w:line="240" w:lineRule="auto"/>
        <w:ind w:left="720" w:hanging="360"/>
      </w:pPr>
      <w:r>
        <w:rPr>
          <w:rFonts w:ascii="Times New Roman" w:eastAsia="Times New Roman" w:hAnsi="Times New Roman" w:cs="Traditional Arabic"/>
          <w:color w:val="1F497D"/>
          <w:sz w:val="26"/>
          <w:szCs w:val="26"/>
        </w:rPr>
        <w:t xml:space="preserve">1.</w:t>
      </w:r>
      <w:r>
        <w:rPr>
          <w:rFonts w:ascii="Times New Roman" w:eastAsia="Times New Roman" w:hAnsi="Times New Roman" w:cs="Traditional Arabic"/>
          <w:color w:val="1F497D"/>
          <w:sz w:val="26"/>
          <w:szCs w:val="26"/>
        </w:rPr>
        <w:t xml:space="preserve">	Changes included in current release are provided above.</w:t>
      </w:r>
    </w:p>
    <w:p>
      <w:pPr>
        <w:spacing w:before="200" w:after="100" w:line="240" w:lineRule="auto"/>
        <w:ind w:left="720" w:hanging="360"/>
      </w:pPr>
      <w:r>
        <w:rPr>
          <w:rFonts w:ascii="Times New Roman" w:eastAsia="Times New Roman" w:hAnsi="Times New Roman" w:cs="Traditional Arabic"/>
          <w:color w:val="1F497D"/>
          <w:sz w:val="26"/>
          <w:szCs w:val="26"/>
        </w:rPr>
        <w:t xml:space="preserve">2.</w:t>
      </w:r>
      <w:r>
        <w:rPr>
          <w:rFonts w:ascii="Times New Roman" w:eastAsia="Times New Roman" w:hAnsi="Times New Roman" w:cs="Traditional Arabic"/>
          <w:color w:val="1F497D"/>
          <w:sz w:val="26"/>
          <w:szCs w:val="26"/>
        </w:rPr>
        <w:t xml:space="preserve">	Recovery process</w:t>
      </w:r>
    </w:p>
    <w:p>
      <w:pPr>
        <w:spacing w:before="80" w:after="80" w:line="240" w:lineRule="auto"/>
        <w:ind w:left="1440" w:hanging="36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1.</w:t>
      </w:r>
      <w:r>
        <w:tab/>
      </w:r>
      <w:r>
        <w:rPr>
          <w:rFonts w:ascii="Calibri" w:eastAsia="Calibri" w:hAnsi="Calibri" w:cs="Calibri"/>
          <w:b/>
          <w:bCs/>
          <w:color w:val="FF0000"/>
          <w:sz w:val="20"/>
          <w:szCs w:val="20"/>
        </w:rPr>
        <w:t xml:space="preserve">NOTE: </w:t>
      </w:r>
      <w:r>
        <w:rPr>
          <w:rFonts w:ascii="Calibri" w:eastAsia="Calibri" w:hAnsi="Calibri" w:cs="Calibri"/>
          <w:sz w:val="20"/>
          <w:szCs w:val="20"/>
        </w:rPr>
        <w:t xml:space="preserve">Before starting deployment, take a copy of the existing deployment folder - the jar, the drivers folder and bank-runtime.properties - so the previous version can be restored. There is no database change to reverse: the application holds no schema of its own and writes nothing.</w:t>
      </w:r>
    </w:p>
    <w:p>
      <w:pPr>
        <w:spacing w:before="200" w:after="100" w:line="240" w:lineRule="auto"/>
        <w:ind w:left="720" w:hanging="360"/>
      </w:pPr>
      <w:r>
        <w:rPr>
          <w:rFonts w:ascii="Times New Roman" w:eastAsia="Times New Roman" w:hAnsi="Times New Roman" w:cs="Traditional Arabic"/>
          <w:color w:val="1F497D"/>
          <w:sz w:val="26"/>
          <w:szCs w:val="26"/>
        </w:rPr>
        <w:t xml:space="preserve">3.</w:t>
      </w:r>
      <w:r>
        <w:rPr>
          <w:rFonts w:ascii="Times New Roman" w:eastAsia="Times New Roman" w:hAnsi="Times New Roman" w:cs="Traditional Arabic"/>
          <w:color w:val="1F497D"/>
          <w:sz w:val="26"/>
          <w:szCs w:val="26"/>
        </w:rPr>
        <w:t xml:space="preserve">	Deploy application with all referenced items:</w:t>
      </w:r>
    </w:p>
    <w:p>
      <w:pPr>
        <w:spacing w:before="80" w:after="80" w:line="240" w:lineRule="auto"/>
        <w:ind w:left="1440" w:hanging="36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1.</w:t>
      </w:r>
      <w:r>
        <w:tab/>
      </w:r>
      <w:r>
        <w:rPr>
          <w:rFonts w:ascii="Calibri" w:eastAsia="Calibri" w:hAnsi="Calibri" w:cs="Calibri"/>
          <w:sz w:val="20"/>
          <w:szCs w:val="20"/>
        </w:rPr>
        <w:t xml:space="preserve">bank-api-0.1.0-SNAPSHOT.jar - the Spring Boot jar, with the bank-ui bundle packaged inside it. npm run build must be run before mvn package, or the jar carries a stale UI.</w:t>
      </w:r>
    </w:p>
    <w:p>
      <w:pPr>
        <w:spacing w:before="80" w:after="80" w:line="240" w:lineRule="auto"/>
        <w:ind w:left="1440" w:hanging="36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2.</w:t>
      </w:r>
      <w:r>
        <w:tab/>
      </w:r>
      <w:r>
        <w:rPr>
          <w:rFonts w:ascii="Calibri" w:eastAsia="Calibri" w:hAnsi="Calibri" w:cs="Calibri"/>
          <w:sz w:val="20"/>
          <w:szCs w:val="20"/>
        </w:rPr>
        <w:t xml:space="preserve">drivers/ - the Denodo JDBC driver, and the Oracle driver if the statement archive is enabled. Loaded at run time through -Dloader.path=drivers; no driver is bundled into the jar.</w:t>
      </w:r>
    </w:p>
    <w:p>
      <w:pPr>
        <w:spacing w:before="80" w:after="80" w:line="240" w:lineRule="auto"/>
        <w:ind w:left="1440" w:hanging="36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3.</w:t>
      </w:r>
      <w:r>
        <w:tab/>
      </w:r>
      <w:r>
        <w:rPr>
          <w:rFonts w:ascii="Calibri" w:eastAsia="Calibri" w:hAnsi="Calibri" w:cs="Calibri"/>
          <w:sz w:val="20"/>
          <w:szCs w:val="20"/>
        </w:rPr>
        <w:t xml:space="preserve">bank-runtime.properties - allowed-users, banking-date and card-banking-date. Set allowed-users before go-live: left blank it admits every directory-authenticated user.</w:t>
      </w:r>
    </w:p>
    <w:p>
      <w:pPr>
        <w:spacing w:before="80" w:after="80" w:line="240" w:lineRule="auto"/>
        <w:ind w:left="1440" w:hanging="36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4.</w:t>
      </w:r>
      <w:r>
        <w:tab/>
      </w:r>
      <w:r>
        <w:rPr>
          <w:rFonts w:ascii="Calibri" w:eastAsia="Calibri" w:hAnsi="Calibri" w:cs="Calibri"/>
          <w:sz w:val="20"/>
          <w:szCs w:val="20"/>
        </w:rPr>
        <w:t xml:space="preserve">run-denodo.sh / run-denodo.bat - the start script carrying ARCHIVAL_DB_URL, ARCHIVAL_DB_USER and ARCHIVAL_DB_PASSWORD. The JWT secret and the LDAP settings are set in the same place. No credential is hard-coded in the jar.</w:t>
      </w:r>
    </w:p>
    <w:p>
      <w:pPr>
        <w:spacing w:before="80" w:after="80" w:line="240" w:lineRule="auto"/>
        <w:ind w:left="1440" w:hanging="36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5.</w:t>
      </w:r>
      <w:r>
        <w:tab/>
      </w:r>
      <w:r>
        <w:rPr>
          <w:rFonts w:ascii="Calibri" w:eastAsia="Calibri" w:hAnsi="Calibri" w:cs="Calibri"/>
          <w:sz w:val="20"/>
          <w:szCs w:val="20"/>
        </w:rPr>
        <w:t xml:space="preserve">Start: java -Dloader.path=drivers -jar bank-api-0.1.0-SNAPSHOT.jar --spring.profiles.active=denodo. The application serves on port 8085.</w:t>
      </w:r>
    </w:p>
    <w:p>
      <w:pPr>
        <w:spacing w:before="80" w:after="80" w:line="240" w:lineRule="auto"/>
        <w:ind w:left="1440" w:hanging="36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6.</w:t>
      </w:r>
      <w:r>
        <w:tab/>
      </w:r>
      <w:r>
        <w:rPr>
          <w:rFonts w:ascii="Calibri" w:eastAsia="Calibri" w:hAnsi="Calibri" w:cs="Calibri"/>
          <w:sz w:val="20"/>
          <w:szCs w:val="20"/>
        </w:rPr>
        <w:t xml:space="preserve">Smoke test before the UI is opened: GET /api/health/db. It reports both connections and proves the configured table prefix resolves.</w:t>
      </w:r>
    </w:p>
    <w:p>
      <w:pPr>
        <w:spacing w:before="200" w:after="100" w:line="240" w:lineRule="auto"/>
        <w:ind w:left="720" w:hanging="360"/>
      </w:pPr>
      <w:r>
        <w:rPr>
          <w:rFonts w:ascii="Times New Roman" w:eastAsia="Times New Roman" w:hAnsi="Times New Roman" w:cs="Traditional Arabic"/>
          <w:color w:val="1F497D"/>
          <w:sz w:val="26"/>
          <w:szCs w:val="26"/>
        </w:rPr>
        <w:t xml:space="preserve">4.</w:t>
      </w:r>
      <w:r>
        <w:rPr>
          <w:rFonts w:ascii="Times New Roman" w:eastAsia="Times New Roman" w:hAnsi="Times New Roman" w:cs="Traditional Arabic"/>
          <w:color w:val="1F497D"/>
          <w:sz w:val="26"/>
          <w:szCs w:val="26"/>
        </w:rPr>
        <w:t xml:space="preserve">	Manual Action:</w:t>
      </w:r>
    </w:p>
    <w:p>
      <w:pPr>
        <w:spacing w:before="200" w:after="100" w:line="240" w:lineRule="auto"/>
        <w:ind w:left="720" w:hanging="360"/>
      </w:pPr>
      <w:r>
        <w:rPr>
          <w:rFonts w:ascii="Times New Roman" w:eastAsia="Times New Roman" w:hAnsi="Times New Roman" w:cs="Traditional Arabic"/>
          <w:color w:val="1F497D"/>
          <w:sz w:val="26"/>
          <w:szCs w:val="26"/>
        </w:rPr>
        <w:t xml:space="preserve">5.</w:t>
      </w:r>
      <w:r>
        <w:rPr>
          <w:rFonts w:ascii="Times New Roman" w:eastAsia="Times New Roman" w:hAnsi="Times New Roman" w:cs="Traditional Arabic"/>
          <w:color w:val="1F497D"/>
          <w:sz w:val="26"/>
          <w:szCs w:val="26"/>
        </w:rPr>
        <w:t xml:space="preserve">	View Creation / Amendment</w:t>
      </w:r>
    </w:p>
    <w:p>
      <w:pPr>
        <w:spacing w:before="80" w:after="80" w:line="240" w:lineRule="auto"/>
        <w:ind w:left="1440" w:hanging="36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1.</w:t>
      </w:r>
      <w:r>
        <w:tab/>
      </w:r>
      <w:r>
        <w:rPr>
          <w:rFonts w:ascii="Calibri" w:eastAsia="Calibri" w:hAnsi="Calibri" w:cs="Calibri"/>
          <w:sz w:val="20"/>
          <w:szCs w:val="20"/>
        </w:rPr>
        <w:t xml:space="preserve">39 Denodo views over the BankMaster archival schema must exist in the target environment under the configured prefix. 36 are present today.</w:t>
      </w:r>
    </w:p>
    <w:p>
      <w:pPr>
        <w:spacing w:before="80" w:after="80" w:line="240" w:lineRule="auto"/>
        <w:ind w:left="1440" w:hanging="36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2.</w:t>
      </w:r>
      <w:r>
        <w:tab/>
      </w:r>
      <w:r>
        <w:rPr>
          <w:rFonts w:ascii="Calibri" w:eastAsia="Calibri" w:hAnsi="Calibri" w:cs="Calibri"/>
          <w:sz w:val="20"/>
          <w:szCs w:val="20"/>
        </w:rPr>
        <w:t xml:space="preserve">Three are absent and the application degrades gracefully rather than failing: bkd0data and ccarrblk, which cost Blocked Amount Breakup two of its four sources, and stswiftlog, whose pending-SWIFT guard on Transfer Detail then never fires. Create them if the underlying data exists.</w:t>
      </w:r>
    </w:p>
    <w:p>
      <w:pPr>
        <w:spacing w:before="80" w:after="80" w:line="240" w:lineRule="auto"/>
        <w:ind w:left="1440" w:hanging="36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3.</w:t>
      </w:r>
      <w:r>
        <w:tab/>
      </w:r>
      <w:r>
        <w:rPr>
          <w:rFonts w:ascii="Calibri" w:eastAsia="Calibri" w:hAnsi="Calibri" w:cs="Calibri"/>
          <w:sz w:val="20"/>
          <w:szCs w:val="20"/>
        </w:rPr>
        <w:t xml:space="preserve">Omni statement archive (Oracle) - the two header/detail table pairs read by Historical Statement and PDP Statement. Off by default. Only PDP_STMT_TXN is confirmed; correct the other three names against the real schema before enabling it.</w:t>
      </w:r>
    </w:p>
    <w:p>
      <w:pPr>
        <w:spacing w:before="80" w:after="80" w:line="240" w:lineRule="auto"/>
        <w:ind w:left="1440" w:hanging="36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4.</w:t>
      </w:r>
      <w:r>
        <w:tab/>
      </w:r>
      <w:r>
        <w:rPr>
          <w:rFonts w:ascii="Calibri" w:eastAsia="Calibri" w:hAnsi="Calibri" w:cs="Calibri"/>
          <w:sz w:val="20"/>
          <w:szCs w:val="20"/>
        </w:rPr>
        <w:t xml:space="preserve">No DDL is requested on the archival schema itself. The application adapts to the extract as it stands and writes nothing to it.</w:t>
      </w:r>
    </w:p>
    <w:p>
      <w:pPr>
        <w:spacing w:before="200" w:after="100" w:line="240" w:lineRule="auto"/>
        <w:ind w:left="720" w:hanging="360"/>
      </w:pPr>
      <w:r>
        <w:rPr>
          <w:rFonts w:ascii="Times New Roman" w:eastAsia="Times New Roman" w:hAnsi="Times New Roman" w:cs="Traditional Arabic"/>
          <w:color w:val="1F497D"/>
          <w:sz w:val="26"/>
          <w:szCs w:val="26"/>
        </w:rPr>
        <w:t xml:space="preserve">6.</w:t>
      </w:r>
      <w:r>
        <w:rPr>
          <w:rFonts w:ascii="Times New Roman" w:eastAsia="Times New Roman" w:hAnsi="Times New Roman" w:cs="Traditional Arabic"/>
          <w:color w:val="1F497D"/>
          <w:sz w:val="26"/>
          <w:szCs w:val="26"/>
        </w:rPr>
        <w:t xml:space="preserve">	Roll-Back Process</w:t>
      </w:r>
    </w:p>
    <w:p>
      <w:pPr>
        <w:spacing w:before="80" w:after="80" w:line="240" w:lineRule="auto"/>
        <w:ind w:left="1440" w:hanging="36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1.</w:t>
      </w:r>
      <w:r>
        <w:tab/>
      </w:r>
      <w:r>
        <w:rPr>
          <w:rFonts w:ascii="Calibri" w:eastAsia="Calibri" w:hAnsi="Calibri" w:cs="Calibri"/>
          <w:sz w:val="20"/>
          <w:szCs w:val="20"/>
        </w:rPr>
        <w:t xml:space="preserve">Stop the application.</w:t>
      </w:r>
    </w:p>
    <w:p>
      <w:pPr>
        <w:spacing w:before="80" w:after="80" w:line="240" w:lineRule="auto"/>
        <w:ind w:left="1440" w:hanging="36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2.</w:t>
      </w:r>
      <w:r>
        <w:tab/>
      </w:r>
      <w:r>
        <w:rPr>
          <w:rFonts w:ascii="Calibri" w:eastAsia="Calibri" w:hAnsi="Calibri" w:cs="Calibri"/>
          <w:sz w:val="20"/>
          <w:szCs w:val="20"/>
        </w:rPr>
        <w:t xml:space="preserve">Restore the deployment folder copied in step 2 - the previous jar, the drivers folder and bank-runtime.properties - and start it with the same script.</w:t>
      </w:r>
    </w:p>
    <w:p>
      <w:pPr>
        <w:spacing w:before="80" w:after="80" w:line="240" w:lineRule="auto"/>
        <w:ind w:left="1440" w:hanging="36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3.</w:t>
      </w:r>
      <w:r>
        <w:tab/>
      </w:r>
      <w:r>
        <w:rPr>
          <w:rFonts w:ascii="Calibri" w:eastAsia="Calibri" w:hAnsi="Calibri" w:cs="Calibri"/>
          <w:sz w:val="20"/>
          <w:szCs w:val="20"/>
        </w:rPr>
        <w:t xml:space="preserve">No data or schema rollback is required. Every connection pool is configured read-only and every statement is a SELECT, so the release leaves no database state behind to reverse.</w:t>
      </w:r>
    </w:p>
    <w:p>
      <w:pPr>
        <w:spacing w:before="80" w:after="80" w:line="240" w:lineRule="auto"/>
        <w:ind w:left="1440" w:hanging="36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4.</w:t>
      </w:r>
      <w:r>
        <w:tab/>
      </w:r>
      <w:r>
        <w:rPr>
          <w:rFonts w:ascii="Calibri" w:eastAsia="Calibri" w:hAnsi="Calibri" w:cs="Calibri"/>
          <w:sz w:val="20"/>
          <w:szCs w:val="20"/>
        </w:rPr>
        <w:t xml:space="preserve">If the fault is configuration rather than code, bank-runtime.properties alone can be reverted while the application is running: allowed-users and banking-date take effect within a second, with no restart and no redeployment.</w:t>
      </w:r>
    </w:p>
    <w:sectPr w:rsidR="00E12D85" w:rsidRPr="00D20125" w:rsidSect="001C7A0D">
      <w:headerReference w:type="default" r:id="rId13"/>
      <w:pgSz w:w="11909" w:h="16834" w:code="9"/>
      <w:pgMar w:top="1440" w:right="852" w:bottom="1440" w:left="988" w:header="720" w:footer="720" w:gutter="28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EC7D9" w14:textId="77777777" w:rsidR="00D20125" w:rsidRDefault="00D20125" w:rsidP="00D20125">
      <w:pPr>
        <w:spacing w:after="0" w:line="240" w:lineRule="auto"/>
      </w:pPr>
      <w:r>
        <w:separator/>
      </w:r>
    </w:p>
  </w:endnote>
  <w:endnote w:type="continuationSeparator" w:id="0">
    <w:p w14:paraId="79FA649A" w14:textId="77777777" w:rsidR="00D20125" w:rsidRDefault="00D20125" w:rsidP="00D20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C13F0" w14:textId="77777777" w:rsidR="00D20125" w:rsidRDefault="00D201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085FF" w14:textId="74757BDC" w:rsidR="004F531F" w:rsidRDefault="00D20125" w:rsidP="00A64D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880458" wp14:editId="6FA3A81E">
              <wp:simplePos x="0" y="0"/>
              <wp:positionH relativeFrom="column">
                <wp:posOffset>-810260</wp:posOffset>
              </wp:positionH>
              <wp:positionV relativeFrom="paragraph">
                <wp:posOffset>367030</wp:posOffset>
              </wp:positionV>
              <wp:extent cx="7562215" cy="444500"/>
              <wp:effectExtent l="0" t="0" r="0" b="0"/>
              <wp:wrapNone/>
              <wp:docPr id="2" name="Text Box 2" title="TrellixVisuallabelFoot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2215" cy="444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D7E780" w14:textId="5936D90B" w:rsidR="004F531F" w:rsidRPr="00B76A74" w:rsidRDefault="00D20125" w:rsidP="00D20125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  <w:szCs w:val="28"/>
                            </w:rPr>
                            <w:t>This document is classified as Confidential. by ANB-PDC-CENTRAL\881149 on Thursday, September 10, 2026 4:59:51 PM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88045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Title: TrellixVisuallabelFooter1" style="position:absolute;margin-left:-63.8pt;margin-top:28.9pt;width:595.45pt;height: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" filled="f" stroked="f" strokeweight=".5pt">
              <v:textbox>
                <w:txbxContent>
                  <w:p w14:paraId="0CD7E780" w14:textId="5936D90B" w:rsidR="004F531F" w:rsidRPr="00B76A74" w:rsidRDefault="00D20125" w:rsidP="00D20125">
                    <w:pPr>
                      <w:spacing w:after="0"/>
                      <w:jc w:val="center"/>
                      <w:rPr>
                        <w:rFonts w:ascii="Calibri" w:hAnsi="Calibri" w:cs="Calibri"/>
                      </w:rPr>
                    </w:pPr>
                    <w:r>
                      <w:rPr>
                        <w:rFonts w:ascii="Calibri" w:hAnsi="Calibri" w:cs="Calibri"/>
                        <w:szCs w:val="28"/>
                      </w:rPr>
                      <w:t>This document is classified as Confidential. by ANB-PDC-CENTRAL\881149 on Thursday, September 10, 2026 4:59:51 PM</w:t>
                    </w:r>
                  </w:p>
                </w:txbxContent>
              </v:textbox>
            </v:shape>
          </w:pict>
        </mc:Fallback>
      </mc:AlternateContent>
    </w:r>
    <w:r>
      <w:t>Published on: 09 September 2026</w:t>
    </w:r>
    <w:r>
      <w:tab/>
    </w:r>
    <w:r>
      <w:tab/>
      <w:t xml:space="preserve">Page </w:t>
    </w:r>
    <w:r>
      <w:rPr>
        <w:rStyle w:val="PageNumber"/>
        <w:szCs w:val="20"/>
      </w:rPr>
      <w:fldChar w:fldCharType="begin"/>
    </w:r>
    <w:r>
      <w:rPr>
        <w:rStyle w:val="PageNumber"/>
        <w:szCs w:val="20"/>
      </w:rPr>
      <w:instrText xml:space="preserve"> PAGE </w:instrText>
    </w:r>
    <w:r>
      <w:rPr>
        <w:rStyle w:val="PageNumber"/>
        <w:szCs w:val="20"/>
      </w:rPr>
      <w:fldChar w:fldCharType="separate"/>
    </w:r>
    <w:r>
      <w:rPr>
        <w:rStyle w:val="PageNumber"/>
        <w:noProof/>
        <w:szCs w:val="20"/>
      </w:rPr>
      <w:t>2</w:t>
    </w:r>
    <w:r>
      <w:rPr>
        <w:rStyle w:val="PageNumber"/>
        <w:szCs w:val="20"/>
      </w:rPr>
      <w:fldChar w:fldCharType="end"/>
    </w:r>
    <w:r>
      <w:rPr>
        <w:rStyle w:val="PageNumber"/>
        <w:szCs w:val="20"/>
      </w:rPr>
      <w:t xml:space="preserve"> of </w:t>
    </w:r>
    <w:r>
      <w:rPr>
        <w:rStyle w:val="PageNumber"/>
        <w:szCs w:val="20"/>
      </w:rPr>
      <w:fldChar w:fldCharType="begin"/>
    </w:r>
    <w:r>
      <w:rPr>
        <w:rStyle w:val="PageNumber"/>
        <w:szCs w:val="20"/>
      </w:rPr>
      <w:instrText xml:space="preserve"> NUMPAGES \* ARABIC </w:instrText>
    </w:r>
    <w:r>
      <w:rPr>
        <w:rStyle w:val="PageNumber"/>
        <w:szCs w:val="20"/>
      </w:rPr>
      <w:fldChar w:fldCharType="separate"/>
    </w:r>
    <w:r>
      <w:rPr>
        <w:rStyle w:val="PageNumber"/>
        <w:noProof/>
        <w:szCs w:val="20"/>
      </w:rPr>
      <w:t>10</w:t>
    </w:r>
    <w:r>
      <w:rPr>
        <w:rStyle w:val="PageNumber"/>
        <w:szCs w:val="20"/>
      </w:rPr>
      <w:fldChar w:fldCharType="end"/>
    </w:r>
    <w:r>
      <w:rPr>
        <w:rStyle w:val="PageNumber"/>
        <w:szCs w:val="20"/>
      </w:rPr>
      <w:b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7FF9B" w14:textId="77777777" w:rsidR="00D20125" w:rsidRDefault="00D201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AD94C" w14:textId="77777777" w:rsidR="00D20125" w:rsidRDefault="00D20125" w:rsidP="00D20125">
      <w:pPr>
        <w:spacing w:after="0" w:line="240" w:lineRule="auto"/>
      </w:pPr>
      <w:r>
        <w:separator/>
      </w:r>
    </w:p>
  </w:footnote>
  <w:footnote w:type="continuationSeparator" w:id="0">
    <w:p w14:paraId="4ABBA451" w14:textId="77777777" w:rsidR="00D20125" w:rsidRDefault="00D20125" w:rsidP="00D20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1C678" w14:textId="77777777" w:rsidR="00D20125" w:rsidRDefault="00D201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068A2" w14:textId="6665D6D7" w:rsidR="004F531F" w:rsidRDefault="00D20125" w:rsidP="00B76A74">
    <w:pPr>
      <w:pStyle w:val="Header"/>
      <w:jc w:val="right"/>
    </w:pPr>
    <w:r>
      <w:rPr>
        <w:noProof/>
      </w:rPr>
      <w:pict w14:anchorId="6BEFE7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TrellixVisuallabelWatermark1" o:spid="_x0000_s1028" type="#_x0000_t136" style="position:absolute;left:0;text-align:left;margin-left:0;margin-top:0;width:595.45pt;height:24.75pt;rotation:310;z-index:251662336;visibility:visible;mso-position-horizontal:center;mso-position-horizontal-relative:margin;mso-position-vertical:center;mso-position-vertical-relative:margin" fillcolor="#a6a6a6" stroked="f">
          <v:fill opacity=".5"/>
          <v:stroke r:id="rId1" o:title=""/>
          <v:shadow color="#868686"/>
          <v:textpath style="font-family:&quot;Calibri&quot;;font-size:20pt;v-text-kern:t" trim="t" fitpath="t" string="This document is classified as Confidential. by ANB-PDC-CENTRAL\881149 on Thursday, September 10, 2026 4:59:51 PM"/>
          <w10:wrap anchorx="margin" anchory="margin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B4FF7D" wp14:editId="5AE8EE2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2215" cy="314325"/>
              <wp:effectExtent l="2376170" t="0" r="2348230" b="0"/>
              <wp:wrapNone/>
              <wp:docPr id="3" name="Text Box 3" descr="This document is classified as Confidential. by ANB-PDC-CENTRAL\881149 on Thursday, September 10, 2026 1:09:09 PM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600000">
                        <a:off x="0" y="0"/>
                        <a:ext cx="7562215" cy="31432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56BC580" w14:textId="77777777" w:rsidR="00D20125" w:rsidRDefault="00D20125" w:rsidP="00D20125">
                          <w:pPr>
                            <w:jc w:val="center"/>
                            <w:rPr>
                              <w:rFonts w:ascii="Calibri" w:eastAsia="Calibri" w:hAnsi="Calibri" w:cs="Calibri"/>
                              <w:color w:val="A6A6A6"/>
                              <w:sz w:val="40"/>
                              <w:szCs w:val="40"/>
                              <w14:textFill>
                                <w14:solidFill>
                                  <w14:srgbClr w14:val="A6A6A6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A6A6A6"/>
                              <w:sz w:val="40"/>
                              <w:szCs w:val="40"/>
                              <w14:textFill>
                                <w14:solidFill>
                                  <w14:srgbClr w14:val="A6A6A6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This document is classified as Confidential. by ANB-PDC-CENTRAL\881149 on Thursday, September 10, 2026 1:09:09 PM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4FF7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This document is classified as Confidential. by ANB-PDC-CENTRAL\881149 on Thursday, September 10, 2026 1:09:09 PM" style="position:absolute;left:0;text-align:left;margin-left:0;margin-top:0;width:595.45pt;height:24.75pt;rotation:-5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" filled="f" stroked="f">
              <v:stroke joinstyle="round"/>
              <o:lock v:ext="edit" shapetype="t"/>
              <v:textbox style="mso-fit-shape-to-text:t">
                <w:txbxContent>
                  <w:p w14:paraId="056BC580" w14:textId="77777777" w:rsidR="00D20125" w:rsidRDefault="00D20125" w:rsidP="00D20125">
                    <w:pPr>
                      <w:jc w:val="center"/>
                      <w:rPr>
                        <w:rFonts w:ascii="Calibri" w:eastAsia="Calibri" w:hAnsi="Calibri" w:cs="Calibri"/>
                        <w:color w:val="A6A6A6"/>
                        <w:sz w:val="40"/>
                        <w:szCs w:val="40"/>
                        <w14:textFill>
                          <w14:solidFill>
                            <w14:srgbClr w14:val="A6A6A6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eastAsia="Calibri" w:hAnsi="Calibri" w:cs="Calibri"/>
                        <w:color w:val="A6A6A6"/>
                        <w:sz w:val="40"/>
                        <w:szCs w:val="40"/>
                        <w14:textFill>
                          <w14:solidFill>
                            <w14:srgbClr w14:val="A6A6A6">
                              <w14:alpha w14:val="50000"/>
                            </w14:srgbClr>
                          </w14:solidFill>
                        </w14:textFill>
                      </w:rPr>
                      <w:t>This document is classified as Confidential. by ANB-PDC-CENTRAL\881149 on Thursday, September 10, 2026 1:09:09 PM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BA48CF" wp14:editId="6D3799AB">
              <wp:simplePos x="0" y="0"/>
              <wp:positionH relativeFrom="column">
                <wp:posOffset>-810260</wp:posOffset>
              </wp:positionH>
              <wp:positionV relativeFrom="paragraph">
                <wp:posOffset>-457200</wp:posOffset>
              </wp:positionV>
              <wp:extent cx="7562215" cy="444500"/>
              <wp:effectExtent l="0" t="0" r="0" b="0"/>
              <wp:wrapNone/>
              <wp:docPr id="1" name="Text Box 1" title="TrellixVisuallabelHea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2215" cy="444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1B60F6" w14:textId="038B56F2" w:rsidR="004F531F" w:rsidRPr="00B76A74" w:rsidRDefault="00D20125" w:rsidP="00D20125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  <w:szCs w:val="28"/>
                            </w:rPr>
                            <w:t>This document is classified as Confidential. by ANB-PDC-CENTRAL\881149 on Thursday, September 10, 2026 4:59:51 PM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BA48CF" id="Text Box 1" o:spid="_x0000_s1027" type="#_x0000_t202" alt="Title: TrellixVisuallabelHeader1" style="position:absolute;left:0;text-align:left;margin-left:-63.8pt;margin-top:-36pt;width:595.45pt;height: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" filled="f" stroked="f" strokeweight=".5pt">
              <v:textbox>
                <w:txbxContent>
                  <w:p w14:paraId="1D1B60F6" w14:textId="038B56F2" w:rsidR="004F531F" w:rsidRPr="00B76A74" w:rsidRDefault="00D20125" w:rsidP="00D20125">
                    <w:pPr>
                      <w:spacing w:after="0"/>
                      <w:jc w:val="center"/>
                      <w:rPr>
                        <w:rFonts w:ascii="Calibri" w:hAnsi="Calibri" w:cs="Calibri"/>
                      </w:rPr>
                    </w:pPr>
                    <w:r>
                      <w:rPr>
                        <w:rFonts w:ascii="Calibri" w:hAnsi="Calibri" w:cs="Calibri"/>
                        <w:szCs w:val="28"/>
                      </w:rPr>
                      <w:t>This document is classified as Confidential. by ANB-PDC-CENTRAL\881149 on Thursday, September 10, 2026 4:59:51 PM</w:t>
                    </w:r>
                  </w:p>
                </w:txbxContent>
              </v:textbox>
            </v:shape>
          </w:pict>
        </mc:Fallback>
      </mc:AlternateContent>
    </w:r>
    <w:r>
      <w:t xml:space="preserve"> </w:t>
    </w:r>
    <w: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F1268" w14:textId="77777777" w:rsidR="00D20125" w:rsidRDefault="00D2012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CF372" w14:textId="5821784A" w:rsidR="004F531F" w:rsidRDefault="00D20125" w:rsidP="00C34695">
    <w:pPr>
      <w:pStyle w:val="Header"/>
      <w:jc w:val="right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38AE2C"/>
    <w:lvl w:ilvl="0">
      <w:start w:val="1"/>
      <w:numFmt w:val="decimal"/>
      <w:pStyle w:val="Heading1"/>
      <w:lvlText w:val="%1"/>
      <w:lvlJc w:val="left"/>
      <w:pPr>
        <w:tabs>
          <w:tab w:val="num" w:pos="994"/>
        </w:tabs>
        <w:ind w:left="994" w:hanging="994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92"/>
        </w:tabs>
        <w:ind w:left="992" w:hanging="992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94"/>
        </w:tabs>
        <w:ind w:left="994" w:hanging="994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994"/>
        </w:tabs>
        <w:ind w:left="994" w:hanging="99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994" w:hanging="994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num" w:pos="0"/>
        </w:tabs>
        <w:ind w:left="4320" w:hanging="720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0"/>
        </w:tabs>
        <w:ind w:left="5040" w:hanging="720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0"/>
        </w:tabs>
        <w:ind w:left="5760" w:hanging="72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0"/>
        </w:tabs>
        <w:ind w:left="6480" w:hanging="720"/>
      </w:pPr>
      <w:rPr>
        <w:rFonts w:cs="Times New Roman" w:hint="default"/>
      </w:rPr>
    </w:lvl>
  </w:abstractNum>
  <w:abstractNum w:abstractNumId="1" w15:restartNumberingAfterBreak="0">
    <w:nsid w:val="57D97165"/>
    <w:multiLevelType w:val="hybridMultilevel"/>
    <w:tmpl w:val="F0E2A6BE"/>
    <w:lvl w:ilvl="0" w:tplc="AE92AA8A"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updateFields w:val="tru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125"/>
    <w:rsid w:val="00D20125"/>
    <w:rsid w:val="00E1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1249BD"/>
  <w15:chartTrackingRefBased/>
  <w15:docId w15:val="{50177D29-3CEF-42B9-B3F2-0ED1AC58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125"/>
    <w:pPr>
      <w:keepNext/>
      <w:pageBreakBefore/>
      <w:numPr>
        <w:numId w:val="1"/>
      </w:numPr>
      <w:spacing w:before="120" w:after="120" w:line="240" w:lineRule="auto"/>
      <w:jc w:val="lowKashida"/>
      <w:outlineLvl w:val="0"/>
    </w:pPr>
    <w:rPr>
      <w:rFonts w:ascii="Arial" w:eastAsia="Times New Roman" w:hAnsi="Arial" w:cs="Traditional Arabic"/>
      <w:spacing w:val="-10"/>
      <w:kern w:val="28"/>
      <w:sz w:val="32"/>
      <w:szCs w:val="38"/>
    </w:rPr>
  </w:style>
  <w:style w:type="paragraph" w:styleId="Heading2">
    <w:name w:val="heading 2"/>
    <w:aliases w:val="h2,2"/>
    <w:basedOn w:val="Heading1"/>
    <w:next w:val="NormalIndent"/>
    <w:link w:val="Heading2Char"/>
    <w:uiPriority w:val="9"/>
    <w:qFormat/>
    <w:rsid w:val="00D20125"/>
    <w:pPr>
      <w:pageBreakBefore w:val="0"/>
      <w:numPr>
        <w:ilvl w:val="1"/>
      </w:numPr>
      <w:tabs>
        <w:tab w:val="left" w:pos="992"/>
      </w:tabs>
      <w:ind w:left="993" w:hanging="993"/>
      <w:outlineLvl w:val="1"/>
    </w:pPr>
    <w:rPr>
      <w:sz w:val="28"/>
      <w:szCs w:val="33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D20125"/>
    <w:pPr>
      <w:numPr>
        <w:ilvl w:val="2"/>
      </w:numPr>
      <w:outlineLvl w:val="2"/>
    </w:pPr>
    <w:rPr>
      <w:sz w:val="26"/>
      <w:szCs w:val="31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D20125"/>
    <w:pPr>
      <w:numPr>
        <w:ilvl w:val="3"/>
      </w:numPr>
      <w:tabs>
        <w:tab w:val="clear" w:pos="994"/>
        <w:tab w:val="num" w:pos="993"/>
      </w:tabs>
      <w:outlineLvl w:val="3"/>
    </w:pPr>
    <w:rPr>
      <w:sz w:val="24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D20125"/>
    <w:pPr>
      <w:keepNext/>
      <w:numPr>
        <w:ilvl w:val="4"/>
        <w:numId w:val="1"/>
      </w:numPr>
      <w:spacing w:before="120" w:after="120" w:line="240" w:lineRule="auto"/>
      <w:outlineLvl w:val="4"/>
    </w:pPr>
    <w:rPr>
      <w:rFonts w:ascii="Arial" w:eastAsia="Times New Roman" w:hAnsi="Arial" w:cs="Traditional Arabic"/>
      <w:spacing w:val="-20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D20125"/>
    <w:pPr>
      <w:keepNext/>
      <w:numPr>
        <w:ilvl w:val="5"/>
        <w:numId w:val="1"/>
      </w:numPr>
      <w:spacing w:before="240" w:after="60" w:line="240" w:lineRule="auto"/>
      <w:jc w:val="lowKashida"/>
      <w:outlineLvl w:val="5"/>
    </w:pPr>
    <w:rPr>
      <w:rFonts w:ascii="Arial" w:eastAsia="Times New Roman" w:hAnsi="Arial" w:cs="Traditional Arabic"/>
      <w:i/>
      <w:iCs/>
      <w:szCs w:val="26"/>
    </w:rPr>
  </w:style>
  <w:style w:type="paragraph" w:styleId="Heading7">
    <w:name w:val="heading 7"/>
    <w:basedOn w:val="Normal"/>
    <w:next w:val="Normal"/>
    <w:link w:val="Heading7Char"/>
    <w:uiPriority w:val="9"/>
    <w:qFormat/>
    <w:rsid w:val="00D20125"/>
    <w:pPr>
      <w:keepNext/>
      <w:numPr>
        <w:ilvl w:val="6"/>
        <w:numId w:val="1"/>
      </w:numPr>
      <w:spacing w:before="240" w:after="60" w:line="240" w:lineRule="auto"/>
      <w:jc w:val="lowKashida"/>
      <w:outlineLvl w:val="6"/>
    </w:pPr>
    <w:rPr>
      <w:rFonts w:ascii="Arial" w:eastAsia="Times New Roman" w:hAnsi="Arial" w:cs="Traditional Arabic"/>
      <w:sz w:val="24"/>
      <w:szCs w:val="28"/>
    </w:rPr>
  </w:style>
  <w:style w:type="paragraph" w:styleId="Heading8">
    <w:name w:val="heading 8"/>
    <w:basedOn w:val="Normal"/>
    <w:next w:val="Normal"/>
    <w:link w:val="Heading8Char"/>
    <w:uiPriority w:val="9"/>
    <w:qFormat/>
    <w:rsid w:val="00D20125"/>
    <w:pPr>
      <w:keepNext/>
      <w:numPr>
        <w:ilvl w:val="7"/>
        <w:numId w:val="1"/>
      </w:numPr>
      <w:spacing w:before="240" w:after="60" w:line="240" w:lineRule="auto"/>
      <w:jc w:val="lowKashida"/>
      <w:outlineLvl w:val="7"/>
    </w:pPr>
    <w:rPr>
      <w:rFonts w:ascii="Arial" w:eastAsia="Times New Roman" w:hAnsi="Arial" w:cs="Traditional Arabic"/>
      <w:i/>
      <w:iCs/>
      <w:sz w:val="24"/>
      <w:szCs w:val="28"/>
    </w:rPr>
  </w:style>
  <w:style w:type="paragraph" w:styleId="Heading9">
    <w:name w:val="heading 9"/>
    <w:basedOn w:val="Normal"/>
    <w:next w:val="Normal"/>
    <w:link w:val="Heading9Char"/>
    <w:uiPriority w:val="9"/>
    <w:qFormat/>
    <w:rsid w:val="00D20125"/>
    <w:pPr>
      <w:keepNext/>
      <w:numPr>
        <w:ilvl w:val="8"/>
        <w:numId w:val="1"/>
      </w:numPr>
      <w:spacing w:before="240" w:after="60" w:line="240" w:lineRule="auto"/>
      <w:jc w:val="lowKashida"/>
      <w:outlineLvl w:val="8"/>
    </w:pPr>
    <w:rPr>
      <w:rFonts w:ascii="Arial" w:eastAsia="Times New Roman" w:hAnsi="Arial" w:cs="Traditional Arabic"/>
      <w:i/>
      <w:iCs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125"/>
    <w:rPr>
      <w:rFonts w:ascii="Arial" w:eastAsia="Times New Roman" w:hAnsi="Arial" w:cs="Traditional Arabic"/>
      <w:spacing w:val="-10"/>
      <w:kern w:val="28"/>
      <w:sz w:val="32"/>
      <w:szCs w:val="38"/>
    </w:rPr>
  </w:style>
  <w:style w:type="character" w:customStyle="1" w:styleId="Heading2Char">
    <w:name w:val="Heading 2 Char"/>
    <w:aliases w:val="h2 Char,2 Char"/>
    <w:basedOn w:val="DefaultParagraphFont"/>
    <w:link w:val="Heading2"/>
    <w:uiPriority w:val="9"/>
    <w:rsid w:val="00D20125"/>
    <w:rPr>
      <w:rFonts w:ascii="Arial" w:eastAsia="Times New Roman" w:hAnsi="Arial" w:cs="Traditional Arabic"/>
      <w:spacing w:val="-10"/>
      <w:kern w:val="28"/>
      <w:sz w:val="28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D20125"/>
    <w:rPr>
      <w:rFonts w:ascii="Arial" w:eastAsia="Times New Roman" w:hAnsi="Arial" w:cs="Traditional Arabic"/>
      <w:spacing w:val="-10"/>
      <w:kern w:val="28"/>
      <w:sz w:val="26"/>
      <w:szCs w:val="31"/>
    </w:rPr>
  </w:style>
  <w:style w:type="character" w:customStyle="1" w:styleId="Heading4Char">
    <w:name w:val="Heading 4 Char"/>
    <w:basedOn w:val="DefaultParagraphFont"/>
    <w:link w:val="Heading4"/>
    <w:uiPriority w:val="9"/>
    <w:rsid w:val="00D20125"/>
    <w:rPr>
      <w:rFonts w:ascii="Arial" w:eastAsia="Times New Roman" w:hAnsi="Arial" w:cs="Traditional Arabic"/>
      <w:spacing w:val="-10"/>
      <w:kern w:val="28"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20125"/>
    <w:rPr>
      <w:rFonts w:ascii="Arial" w:eastAsia="Times New Roman" w:hAnsi="Arial" w:cs="Traditional Arabic"/>
      <w:spacing w:val="-20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D20125"/>
    <w:rPr>
      <w:rFonts w:ascii="Arial" w:eastAsia="Times New Roman" w:hAnsi="Arial" w:cs="Traditional Arabic"/>
      <w:i/>
      <w:iCs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D20125"/>
    <w:rPr>
      <w:rFonts w:ascii="Arial" w:eastAsia="Times New Roman" w:hAnsi="Arial" w:cs="Traditional Arabic"/>
      <w:sz w:val="24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D20125"/>
    <w:rPr>
      <w:rFonts w:ascii="Arial" w:eastAsia="Times New Roman" w:hAnsi="Arial" w:cs="Traditional Arabic"/>
      <w:i/>
      <w:iCs/>
      <w:sz w:val="24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D20125"/>
    <w:rPr>
      <w:rFonts w:ascii="Arial" w:eastAsia="Times New Roman" w:hAnsi="Arial" w:cs="Traditional Arabic"/>
      <w:i/>
      <w:iCs/>
      <w:sz w:val="18"/>
      <w:szCs w:val="21"/>
    </w:rPr>
  </w:style>
  <w:style w:type="paragraph" w:styleId="NormalIndent">
    <w:name w:val="Normal Indent"/>
    <w:basedOn w:val="Normal"/>
    <w:uiPriority w:val="99"/>
    <w:semiHidden/>
    <w:rsid w:val="00D20125"/>
    <w:pPr>
      <w:keepNext/>
      <w:spacing w:before="120" w:after="120" w:line="240" w:lineRule="auto"/>
      <w:ind w:left="992"/>
      <w:jc w:val="lowKashida"/>
    </w:pPr>
    <w:rPr>
      <w:rFonts w:ascii="Times New Roman" w:eastAsia="Times New Roman" w:hAnsi="Times New Roman" w:cs="Traditional Arabic"/>
      <w:sz w:val="24"/>
      <w:szCs w:val="28"/>
    </w:rPr>
  </w:style>
  <w:style w:type="paragraph" w:styleId="Header">
    <w:name w:val="header"/>
    <w:basedOn w:val="Footer"/>
    <w:link w:val="HeaderChar"/>
    <w:uiPriority w:val="99"/>
    <w:semiHidden/>
    <w:rsid w:val="00D20125"/>
    <w:pPr>
      <w:pBdr>
        <w:top w:val="none" w:sz="0" w:space="0" w:color="auto"/>
        <w:bottom w:val="single" w:sz="12" w:space="3" w:color="auto"/>
      </w:pBdr>
      <w:tabs>
        <w:tab w:val="right" w:pos="4253"/>
      </w:tabs>
      <w:spacing w:before="0" w:after="12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0125"/>
    <w:rPr>
      <w:rFonts w:ascii="Arial" w:eastAsia="Times New Roman" w:hAnsi="Arial" w:cs="Traditional Arabic"/>
      <w:sz w:val="16"/>
      <w:szCs w:val="19"/>
    </w:rPr>
  </w:style>
  <w:style w:type="paragraph" w:styleId="Footer">
    <w:name w:val="footer"/>
    <w:basedOn w:val="Normal"/>
    <w:link w:val="FooterChar"/>
    <w:uiPriority w:val="99"/>
    <w:semiHidden/>
    <w:rsid w:val="00D20125"/>
    <w:pPr>
      <w:keepNext/>
      <w:pBdr>
        <w:top w:val="single" w:sz="12" w:space="2" w:color="auto"/>
      </w:pBdr>
      <w:tabs>
        <w:tab w:val="center" w:pos="4253"/>
        <w:tab w:val="right" w:pos="9781"/>
      </w:tabs>
      <w:spacing w:before="120" w:after="0" w:line="240" w:lineRule="auto"/>
    </w:pPr>
    <w:rPr>
      <w:rFonts w:ascii="Arial" w:eastAsia="Times New Roman" w:hAnsi="Arial" w:cs="Traditional Arabic"/>
      <w:sz w:val="16"/>
      <w:szCs w:val="19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20125"/>
    <w:rPr>
      <w:rFonts w:ascii="Arial" w:eastAsia="Times New Roman" w:hAnsi="Arial" w:cs="Traditional Arabic"/>
      <w:sz w:val="16"/>
      <w:szCs w:val="19"/>
    </w:rPr>
  </w:style>
  <w:style w:type="character" w:styleId="PageNumber">
    <w:name w:val="page number"/>
    <w:basedOn w:val="DefaultParagraphFont"/>
    <w:uiPriority w:val="99"/>
    <w:semiHidden/>
    <w:rsid w:val="00D20125"/>
    <w:rPr>
      <w:sz w:val="20"/>
    </w:rPr>
  </w:style>
  <w:style w:type="paragraph" w:customStyle="1" w:styleId="Tableheading">
    <w:name w:val="Table heading"/>
    <w:basedOn w:val="Normal"/>
    <w:rsid w:val="00D20125"/>
    <w:pPr>
      <w:keepNext/>
      <w:spacing w:before="60" w:after="60" w:line="240" w:lineRule="auto"/>
    </w:pPr>
    <w:rPr>
      <w:rFonts w:ascii="Arial" w:eastAsia="Times New Roman" w:hAnsi="Arial" w:cs="Traditional Arabic"/>
      <w:b/>
      <w:bCs/>
      <w:sz w:val="16"/>
      <w:szCs w:val="19"/>
    </w:rPr>
  </w:style>
  <w:style w:type="paragraph" w:customStyle="1" w:styleId="Tabletext">
    <w:name w:val="Table text"/>
    <w:basedOn w:val="Tableheading"/>
    <w:rsid w:val="00D20125"/>
    <w:rPr>
      <w:b w:val="0"/>
      <w:bCs w:val="0"/>
    </w:rPr>
  </w:style>
  <w:style w:type="paragraph" w:styleId="Title">
    <w:name w:val="Title"/>
    <w:basedOn w:val="Normal"/>
    <w:link w:val="TitleChar"/>
    <w:uiPriority w:val="10"/>
    <w:qFormat/>
    <w:rsid w:val="00D20125"/>
    <w:pPr>
      <w:keepNext/>
      <w:spacing w:before="600" w:after="600" w:line="240" w:lineRule="auto"/>
      <w:jc w:val="center"/>
    </w:pPr>
    <w:rPr>
      <w:rFonts w:ascii="Arial" w:eastAsia="Times New Roman" w:hAnsi="Arial" w:cs="Traditional Arabic"/>
      <w:b/>
      <w:bCs/>
      <w:color w:val="0000FF"/>
      <w:kern w:val="28"/>
      <w:sz w:val="32"/>
      <w:szCs w:val="38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D20125"/>
    <w:rPr>
      <w:rFonts w:ascii="Arial" w:eastAsia="Times New Roman" w:hAnsi="Arial" w:cs="Traditional Arabic"/>
      <w:b/>
      <w:bCs/>
      <w:color w:val="0000FF"/>
      <w:kern w:val="28"/>
      <w:sz w:val="32"/>
      <w:szCs w:val="38"/>
      <w:lang w:val="en-GB"/>
    </w:rPr>
  </w:style>
  <w:style w:type="paragraph" w:styleId="TOCHeading">
    <w:name w:val="TOC Heading"/>
    <w:basedOn w:val="Title"/>
    <w:uiPriority w:val="39"/>
    <w:qFormat/>
    <w:rsid w:val="00D20125"/>
    <w:pPr>
      <w:pageBreakBefore/>
      <w:spacing w:before="120"/>
      <w:ind w:left="994"/>
    </w:pPr>
  </w:style>
  <w:style w:type="character" w:customStyle="1" w:styleId="MainStyle">
    <w:name w:val="Main Style"/>
    <w:rsid w:val="00D20125"/>
    <w:rPr>
      <w:color w:val="000080"/>
    </w:rPr>
  </w:style>
  <w:style w:type="character" w:customStyle="1" w:styleId="SubTittle">
    <w:name w:val="Sub Tittle"/>
    <w:rsid w:val="00D20125"/>
    <w:rPr>
      <w:color w:val="000080"/>
    </w:rPr>
  </w:style>
  <w:style w:type="paragraph" w:styleId="ListParagraph">
    <w:name w:val="List Paragraph"/>
    <w:aliases w:val="YC Bulet,lp1,List Paragraph1,Use Case List Paragraph,numbered,FooterText,Paragraphe de liste1,Bulletr List Paragraph,列出段落,列出段落1,List Paragraph2,List Paragraph21,Párrafo de lista1,Parágrafo da Lista1,リスト段落1,Listeafsnit1,lp11,Heading2"/>
    <w:basedOn w:val="Normal"/>
    <w:link w:val="ListParagraphChar"/>
    <w:uiPriority w:val="34"/>
    <w:qFormat/>
    <w:rsid w:val="00D20125"/>
    <w:pPr>
      <w:keepNext/>
      <w:spacing w:before="60" w:after="120" w:line="240" w:lineRule="auto"/>
      <w:ind w:left="720"/>
      <w:contextualSpacing/>
      <w:jc w:val="lowKashida"/>
    </w:pPr>
    <w:rPr>
      <w:rFonts w:ascii="Times New Roman" w:eastAsia="Times New Roman" w:hAnsi="Times New Roman" w:cs="Traditional Arabic"/>
      <w:sz w:val="24"/>
      <w:szCs w:val="28"/>
    </w:rPr>
  </w:style>
  <w:style w:type="character" w:customStyle="1" w:styleId="ListParagraphChar">
    <w:name w:val="List Paragraph Char"/>
    <w:aliases w:val="YC Bulet Char,lp1 Char,List Paragraph1 Char,Use Case List Paragraph Char,numbered Char,FooterText Char,Paragraphe de liste1 Char,Bulletr List Paragraph Char,列出段落 Char,列出段落1 Char,List Paragraph2 Char,List Paragraph21 Char,リスト段落1 Char"/>
    <w:basedOn w:val="DefaultParagraphFont"/>
    <w:link w:val="ListParagraph"/>
    <w:uiPriority w:val="34"/>
    <w:qFormat/>
    <w:locked/>
    <w:rsid w:val="00D20125"/>
    <w:rPr>
      <w:rFonts w:ascii="Times New Roman" w:eastAsia="Times New Roman" w:hAnsi="Times New Roman" w:cs="Traditional Arabic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Process - Bankmaster Archival - CSD Enquiry Application</dc:title>
  <dc:subject>Bankmaster Archival</dc:subject>
  <dc:creator>Manish K. Kumar</dc:creator>
  <cp:keywords/>
  <dc:description/>
  <cp:lastModifiedBy>Manish K. Kumar</cp:lastModifiedBy>
  <cp:revision>1</cp:revision>
  <dcterms:created xsi:type="dcterms:W3CDTF">2026-09-10T13:58:00Z</dcterms:created>
  <dcterms:modified xsi:type="dcterms:W3CDTF">2026-09-10T13:59:00Z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{96D6C38A-0938-48A7-B7BE-D411855B96C9}</vt:lpwstr>
  </property>
  <property fmtid="{D5CDD505-2E9C-101B-9397-08002B2CF9AE}" pid="3" name="DLPManualFileClassificationLastModifiedBy">
    <vt:lpwstr>ANB-PDC-CENTRAL\881149</vt:lpwstr>
  </property>
  <property fmtid="{D5CDD505-2E9C-101B-9397-08002B2CF9AE}" pid="4" name="DLPManualFileClassificationLastModificationDate">
    <vt:lpwstr>1789048791</vt:lpwstr>
  </property>
  <property fmtid="{D5CDD505-2E9C-101B-9397-08002B2CF9AE}" pid="5" name="DLPManualFileClassificationVersion">
    <vt:lpwstr>11.12.1.21</vt:lpwstr>
  </property>
  <property fmtid="{D5CDD505-2E9C-101B-9397-08002B2CF9AE}" pid="6" name="DLPVisualLabelFileClassification">
    <vt:lpwstr>{96D6C38A-0938-48A7-B7BE-D411855B96C9}</vt:lpwstr>
  </property>
  <property fmtid="{D5CDD505-2E9C-101B-9397-08002B2CF9AE}" pid="7" name="DLPVisualLabelFileClassificationModifiedBy">
    <vt:lpwstr>ANB-PDC-CENTRAL\881149</vt:lpwstr>
  </property>
  <property fmtid="{D5CDD505-2E9C-101B-9397-08002B2CF9AE}" pid="8" name="DLPVisualLabelFileClassificationModifiedDate">
    <vt:lpwstr>1789048791</vt:lpwstr>
  </property>
  <property fmtid="{D5CDD505-2E9C-101B-9397-08002B2CF9AE}" pid="9" name="DLPVisualLabelFileClassificationAlignment">
    <vt:lpwstr>2</vt:lpwstr>
  </property>
  <property fmtid="{D5CDD505-2E9C-101B-9397-08002B2CF9AE}" pid="10" name="DLPVisualLabelFileClassificationPosition">
    <vt:lpwstr>TrellixVisuallabelHeader;TrellixVisuallabelWatermark;TrellixVisuallabelFooter</vt:lpwstr>
  </property>
</Properties>
</file>