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5A5A"/>
          <w:sz w:val="20"/>
          <w:szCs w:val="20"/>
        </w:rPr>
        <w:t xml:space="preserve">OXYGEN BIOINNOVATIONS PRIVATE LIMITED</w:t>
      </w:r>
    </w:p>
    <w:p>
      <w:pPr>
        <w:spacing w:after="200"/>
      </w:pPr>
      <w:r>
        <w:rPr>
          <w:i/>
          <w:iCs/>
          <w:color w:val="5A5A5A"/>
          <w:sz w:val="18"/>
          <w:szCs w:val="18"/>
        </w:rPr>
        <w:t xml:space="preserve">CIN: U72100TZ2026PTC038160  ·  உணவே மருந்து · Food Is Medicine</w:t>
      </w:r>
    </w:p>
    <w:p>
      <w:pPr>
        <w:pStyle w:val="Title"/>
        <w:spacing w:after="80"/>
      </w:pPr>
      <w:r>
        <w:rPr>
          <w:color w:val="1E2761"/>
        </w:rPr>
        <w:t xml:space="preserve">Website Content Gap Analysis</w:t>
      </w:r>
    </w:p>
    <w:p>
      <w:pPr>
        <w:spacing w:after="300"/>
      </w:pPr>
      <w:r>
        <w:rPr>
          <w:color w:val="5A5A5A"/>
          <w:sz w:val="26"/>
          <w:szCs w:val="26"/>
        </w:rPr>
        <w:t xml:space="preserve">Current Site (oxygenbioinnovations.com) vs. SISFS-Updated Pitch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Prepared For</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Date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Basis Document</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Manisreethaar S, CEO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20 June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SISFS Pitch Deck v3 (presented 19 Jun 2026, Indigram Labs)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For action</w:t>
            </w:r>
          </w:p>
        </w:tc>
      </w:tr>
    </w:tbl>
    <w:p>
      <w:pPr>
        <w:spacing w:after="100" w:before="300"/>
      </w:pPr>
      <w:r>
        <w:t xml:space="preserve"/>
      </w:r>
    </w:p>
    <w:p>
      <w:pPr>
        <w:pStyle w:val="Heading1"/>
      </w:pPr>
      <w:r>
        <w:t xml:space="preserve">1. Executive Summary</w:t>
      </w:r>
    </w:p>
    <w:p>
      <w:pPr>
        <w:spacing w:after="160"/>
      </w:pPr>
      <w:r>
        <w:t xml:space="preserve">The site and the deck are now telling two different stories. The deck presented to Indigram on 19 June is a focused, three-substrate, named-organism, named-strain functional beverage platform with a precise target customer and a milestone-linked grant ask. The live website is largely still the pre-pitch version of the company — broader, vaguer, two-substrate, and in a few places factually wrong about your own status. Anyone who reads the deck and then checks the site (which any serious evaluator will do) will notice the mismatch immediately.</w:t>
      </w:r>
    </w:p>
    <w:p>
      <w:pPr>
        <w:spacing w:after="160"/>
      </w:pPr>
      <w:r>
        <w:rPr>
          <w:b/>
          <w:bCs/>
          <w:color w:val="1E2761"/>
        </w:rPr>
        <w:t xml:space="preserve">Bottom line: </w:t>
      </w:r>
      <w:r>
        <w:t xml:space="preserve">three issues need fixing before anything else — one factual error about incorporation status, one contradictory address, and one scientifically incorrect extraction-method claim. These are credibility risks independent of the broader content refresh. Everything else below is a structured upgrade, not a fire.</w:t>
      </w:r>
    </w:p>
    <w:p>
      <w:pPr>
        <w:spacing w:after="160"/>
      </w:pPr>
      <w:r>
        <w:t xml:space="preserve">Good news: the Investors page is already close to the new direction — it has L. brevis, GABA, the correct SISFS budget split, and matching TAM/SAM/SOM figures. That page is your template for bringing the rest of the site into alignment, not a separate problem to solve.</w:t>
      </w:r>
    </w:p>
    <w:p>
      <w:pPr>
        <w:pStyle w:val="Heading1"/>
      </w:pPr>
      <w:r>
        <w:t xml:space="preserve">2. Critical Issues — Fix Immediately</w:t>
      </w:r>
    </w:p>
    <w:p>
      <w:pPr>
        <w:spacing w:after="160"/>
      </w:pPr>
      <w:r>
        <w:t xml:space="preserve">These are not style or freshness issues. They are factual errors or contradictions a reviewer can catch in under two minutes, and they undercut the credibility of everything else on the site.</w:t>
      </w:r>
    </w:p>
    <w:p>
      <w:pPr>
        <w:pStyle w:val="Heading2"/>
      </w:pPr>
      <w:r>
        <w:t xml:space="preserve">2.1 — FAQ page claims incorporation is still in progress</w:t>
      </w:r>
    </w:p>
    <w:p>
      <w:pPr>
        <w:spacing w:after="160"/>
      </w:pPr>
      <w:r>
        <w:rPr>
          <w:b/>
          <w:bCs/>
          <w:color w:val="1E2761"/>
        </w:rPr>
        <w:t xml:space="preserve">Where: </w:t>
      </w:r>
      <w:r>
        <w:t xml:space="preserve">faq.html, “About Oxygen Bioinnovations” section</w:t>
      </w:r>
    </w:p>
    <w:p>
      <w:pPr>
        <w:spacing w:after="160"/>
      </w:pPr>
      <w:r>
        <w:rPr>
          <w:b/>
          <w:bCs/>
          <w:color w:val="1E2761"/>
        </w:rPr>
        <w:t xml:space="preserve">Current text: </w:t>
      </w:r>
      <w:r>
        <w:t xml:space="preserve">“We are currently completing our incorporation process (SPICe+ filing) and will be fully operational as a legal entity shortly.”</w:t>
      </w:r>
    </w:p>
    <w:p>
      <w:pPr>
        <w:spacing w:after="160"/>
      </w:pPr>
      <w:r>
        <w:rPr>
          <w:b/>
          <w:bCs/>
          <w:color w:val="1E2761"/>
        </w:rPr>
        <w:t xml:space="preserve">Problem: </w:t>
      </w:r>
      <w:r>
        <w:t xml:space="preserve">OBI was incorporated 6 March 2026 and the same site’s own footer displays the live CIN (U72100TZ2026PTC038160) on every page. The FAQ directly contradicts the footer on the same page. This is the kind of inconsistency a grant committee or co-investor diligence checklist flags on sight.</w:t>
      </w:r>
    </w:p>
    <w:p>
      <w:pPr>
        <w:spacing w:after="160"/>
      </w:pPr>
      <w:r>
        <w:rPr>
          <w:b/>
          <w:bCs/>
          <w:color w:val="1E2761"/>
        </w:rPr>
        <w:t xml:space="preserve">Fix: </w:t>
      </w:r>
      <w:r>
        <w:t xml:space="preserve">Replace with confirmed-incorporated language — e.g. “Oxygen Bioinnovations Private Limited is a duly incorporated company (CIN: U72100TZ2026PTC038160), DPIIT-recognised (DIPP258270).”</w:t>
      </w:r>
    </w:p>
    <w:p>
      <w:pPr>
        <w:pStyle w:val="Heading2"/>
      </w:pPr>
      <w:r>
        <w:t xml:space="preserve">2.2 — Contact page lists two conflicting registered locations</w:t>
      </w:r>
    </w:p>
    <w:p>
      <w:pPr>
        <w:spacing w:after="160"/>
      </w:pPr>
      <w:r>
        <w:rPr>
          <w:b/>
          <w:bCs/>
          <w:color w:val="1E2761"/>
        </w:rPr>
        <w:t xml:space="preserve">Where: </w:t>
      </w:r>
      <w:r>
        <w:t xml:space="preserve">contact.html</w:t>
      </w:r>
    </w:p>
    <w:p>
      <w:pPr>
        <w:spacing w:after="160"/>
      </w:pPr>
      <w:r>
        <w:rPr>
          <w:b/>
          <w:bCs/>
          <w:color w:val="1E2761"/>
        </w:rPr>
        <w:t xml:space="preserve">Current text: </w:t>
      </w:r>
      <w:r>
        <w:t xml:space="preserve">“Incubation Address: Cabin D, DETI@ACE-TBI, Hosur, TN – 635130” (correct) directly alongside “Corporate Headquarters: Namakkal, Tamil Nadu – PIN 637405” (no such location exists anywhere in your company records).</w:t>
      </w:r>
    </w:p>
    <w:p>
      <w:pPr>
        <w:spacing w:after="160"/>
      </w:pPr>
      <w:r>
        <w:rPr>
          <w:b/>
          <w:bCs/>
          <w:color w:val="1E2761"/>
        </w:rPr>
        <w:t xml:space="preserve">Problem: </w:t>
      </w:r>
      <w:r>
        <w:t xml:space="preserve">This reads as either leftover template placeholder text or a real error. Either way, a diligence reviewer cross-checking your MCA filing against the website will find a registered office that doesn’t match. Your actual registered office is TBI-DETI@ACE, Adhiyamaan College of Engineering, Hosur.</w:t>
      </w:r>
    </w:p>
    <w:p>
      <w:pPr>
        <w:spacing w:after="160"/>
      </w:pPr>
      <w:r>
        <w:rPr>
          <w:b/>
          <w:bCs/>
          <w:color w:val="1E2761"/>
        </w:rPr>
        <w:t xml:space="preserve">Fix: </w:t>
      </w:r>
      <w:r>
        <w:t xml:space="preserve">Remove the Namakkal “Corporate Headquarters” block entirely. One address only — the Hosur incubation address — until you have an actual second registered premises.</w:t>
      </w:r>
    </w:p>
    <w:p>
      <w:pPr>
        <w:pStyle w:val="Heading2"/>
      </w:pPr>
      <w:r>
        <w:t xml:space="preserve">2.3 — Science page misstates the Lion’s Mane (CLARITY) extraction method</w:t>
      </w:r>
    </w:p>
    <w:p>
      <w:pPr>
        <w:spacing w:after="160"/>
      </w:pPr>
      <w:r>
        <w:rPr>
          <w:b/>
          <w:bCs/>
          <w:color w:val="1E2761"/>
        </w:rPr>
        <w:t xml:space="preserve">Where: </w:t>
      </w:r>
      <w:r>
        <w:t xml:space="preserve">science.html, “CLARITY / Cognitive” section</w:t>
      </w:r>
    </w:p>
    <w:p>
      <w:pPr>
        <w:spacing w:after="160"/>
      </w:pPr>
      <w:r>
        <w:rPr>
          <w:b/>
          <w:bCs/>
          <w:color w:val="1E2761"/>
        </w:rPr>
        <w:t xml:space="preserve">Current text: </w:t>
      </w:r>
      <w:r>
        <w:t xml:space="preserve">“Our cognitive protocol uses Lion’s Mane extracted via a dual hot-water and ethanol method, standardised specifically for Hericenones and Erinacines…”</w:t>
      </w:r>
    </w:p>
    <w:p>
      <w:pPr>
        <w:spacing w:after="160"/>
      </w:pPr>
      <w:r>
        <w:rPr>
          <w:b/>
          <w:bCs/>
          <w:color w:val="1E2761"/>
        </w:rPr>
        <w:t xml:space="preserve">Problem: </w:t>
      </w:r>
      <w:r>
        <w:t xml:space="preserve">This contradicts your own corrected protocol. Per the locked specification, Lion’s Mane extraction is hot-water only, with a strict ≤70°C ceiling, because hericenones denature above that temperature — ethanol involvement and an erinacines target are not part of the current CLARITY protocol (ethanol-first is Cordyceps/MOMENTUM; dual extraction is Reishi/VITALITY). A scientifically literate reviewer, or a future patent examiner comparing your public claims to your filing, will catch this.</w:t>
      </w:r>
    </w:p>
    <w:p>
      <w:pPr>
        <w:spacing w:after="160"/>
      </w:pPr>
      <w:r>
        <w:rPr>
          <w:b/>
          <w:bCs/>
          <w:color w:val="1E2761"/>
        </w:rPr>
        <w:t xml:space="preserve">Fix: </w:t>
      </w:r>
      <w:r>
        <w:t xml:space="preserve">Don’t just correct it — see Section 3 below on whether to state the method at all. At minimum, remove “dual hot-water and ethanol” and “Erinacines” from this section.</w:t>
      </w:r>
    </w:p>
    <w:p>
      <w:pPr>
        <w:pStyle w:val="Heading2"/>
      </w:pPr>
      <w:r>
        <w:t xml:space="preserve">2.4 — Lower-priority accuracy items</w:t>
      </w:r>
    </w:p>
    <w:p>
      <w:pPr>
        <w:pStyle w:val="ListParagraph"/>
        <w:numPr>
          <w:ilvl w:val="0"/>
          <w:numId w:val="2"/>
        </w:numPr>
        <w:spacing w:after="100"/>
      </w:pPr>
      <w:r>
        <w:t xml:space="preserve">Careers page references “FSSAI/CDSCO regulatory documentation” — CDSCO governs drugs and cosmetics, not food beverages. Only FSSAI applies to this product category; the CDSCO reference is incorrect and worth removing for precision.</w:t>
      </w:r>
    </w:p>
    <w:p>
      <w:pPr>
        <w:pStyle w:val="ListParagraph"/>
        <w:numPr>
          <w:ilvl w:val="0"/>
          <w:numId w:val="2"/>
        </w:numPr>
        <w:spacing w:after="100"/>
      </w:pPr>
      <w:r>
        <w:t xml:space="preserve">FAQ and Careers both describe the product as a “probiotic” formulation, and Careers references “probiotic strain isolation.” Your platform is explicitly postbiotic — the fermentation organism is heat-inactivated post-fermentation and the product is shelf-stable with no live culture claim. “Probiotic” and “postbiotic” are different regulatory/labeling categories under FSSAI; using “probiotic” language publicly while building a postbiotic regulatory file is a claims-consistency risk worth closing now rather than after the FSSAI application is filed.</w:t>
      </w:r>
    </w:p>
    <w:p>
      <w:pPr>
        <w:pStyle w:val="Heading1"/>
      </w:pPr>
      <w:r>
        <w:t xml:space="preserve">3. Strategic Direction: What Changed</w:t>
      </w:r>
    </w:p>
    <w:p>
      <w:pPr>
        <w:spacing w:after="160"/>
      </w:pPr>
      <w:r>
        <w:t xml:space="preserve">This is the gap that matters most for the task you asked for — vision, problem, approach, solution, and target audience,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Dimension</w:t>
            </w:r>
          </w:p>
        </w:tc>
        <w:tc>
          <w:tcPr>
            <w:tcW w:type="dxa" w:w="35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Website Today</w:t>
            </w:r>
          </w:p>
        </w:tc>
        <w:tc>
          <w:tcPr>
            <w:tcW w:type="dxa" w:w="35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Deck (New Direction)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Platform 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Two substrates: sprouted ragi + Karuppu Kavuni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Three substrates: sprouted ragi + Karuppu Kavuni + urad dal (exact ratio is patent-sensitive — keep off the site, see Section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Fermentation organism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Unnamed “LAB fermentation” / “LAB strain”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Named: L. brevis, with in-situ GABA biosynthesis as a headline differentiator (already live on Investors page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Lead problem framing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Micronutrient deficiency: anaemia 57%, Vitamin D 70%+, B12 47% (NFHS-5 / ICMR)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Cognitive fatigue &amp; stress 40%+ (NFHS-5), no India-origin functional RTD, no healthy carbonated alternative, India’s diabetes burden (IDF 2023)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Target customer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Broad: “urban professional, student, athlete” — no age, geography, or spend specifics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Precise: age 18–45, Hosur + Bengaluru, sub-₹100/day spend, health-aware early adopters, gym-going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Team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Solo-founder narrative throughout (“I,” “my idea”); Libinraj, advisory board, and extended team are entirely absent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Co-Director Libinraj Christopher (lab ops, designated investor presenter), 8-person advisory board (Syngene, Aragen, 5 academic), 1 Research Fellow + 7 interns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Product framing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Tentative: “(Working Title),” R&amp;D-stage hedging, no visible price on product cards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Confident: defined SKU role, named bioactives, sub-₹100 price point, explicit “full-scale brand, beverages are the starting point” framing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Funding narrative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Absent from Home/About/Problem/Science; present only on Investors page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SISFS Application 113783 (presented 19 Jun 2026), BIRAC BIG target, full milestone-linked ₹20L deployment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rPr>
              <w:t xml:space="preserve">Incorporation status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FAQ claims SPICe+ filing still in progress (incorrect)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DPIIT certificate DIPP258270 displayed prominently; CIN live and confirmed</w:t>
            </w:r>
          </w:p>
        </w:tc>
      </w:tr>
    </w:tbl>
    <w:p>
      <w:pPr>
        <w:spacing w:after="100" w:before="200"/>
      </w:pPr>
      <w:r>
        <w:t xml:space="preserve"/>
      </w:r>
    </w:p>
    <w:p>
      <w:pPr>
        <w:pStyle w:val="Heading1"/>
      </w:pPr>
      <w:r>
        <w:t xml:space="preserve">4. Patent-Sensitivity Guardrails</w:t>
      </w:r>
    </w:p>
    <w:p>
      <w:pPr>
        <w:spacing w:after="160"/>
      </w:pPr>
      <w:r>
        <w:t xml:space="preserve">You asked specifically that the refreshed site not expose anything that compromises the upcoming filing. Apply this rule consistently across every page you touch:</w:t>
      </w:r>
    </w:p>
    <w:p>
      <w:pPr>
        <w:spacing w:after="160"/>
      </w:pPr>
      <w:r>
        <w:rPr>
          <w:b/>
          <w:bCs/>
          <w:color w:val="1E2761"/>
        </w:rPr>
        <w:t xml:space="preserve">Never publish, at any level of specificity: </w:t>
      </w:r>
      <w:r>
        <w:t xml:space="preserve">substrate ratios (e.g. the 50:20:30 ragi:KK:urad dal split), exact fermentation parameters beyond what’s already public, inoculum percentages, or any GAD-pathway / enzyme-kinetics mechanistic detail.</w:t>
      </w:r>
    </w:p>
    <w:p>
      <w:pPr>
        <w:spacing w:after="160"/>
      </w:pPr>
      <w:r>
        <w:rPr>
          <w:b/>
          <w:bCs/>
          <w:color w:val="1E2761"/>
        </w:rPr>
        <w:t xml:space="preserve">Already public and fine to keep: </w:t>
      </w:r>
      <w:r>
        <w:t xml:space="preserve">the pH endpoint range (3.8–4.2) and the general fact that each mushroom species gets a different, temperature-controlled extraction approach — both already appear in the SISFS deck and the Investors page, so restating them doesn’t give away anything new.</w:t>
      </w:r>
    </w:p>
    <w:p>
      <w:pPr>
        <w:spacing w:after="160"/>
      </w:pPr>
      <w:r>
        <w:rPr>
          <w:b/>
          <w:bCs/>
          <w:color w:val="1E2761"/>
        </w:rPr>
        <w:t xml:space="preserve">The line you’re currently crossing in the wrong direction: </w:t>
      </w:r>
      <w:r>
        <w:t xml:space="preserve">science.html doesn’t just disclose that extraction is species-specific — it states a specific solvent sequence and target compound per species. Your own deck lists “species-specific extraction protocols” as a named competitive moat (“a technical moat”, slide 9). Publishing the actual method, even if you correct it to be accurate, is giving that moat away for free.</w:t>
      </w:r>
    </w:p>
    <w:p>
      <w:pPr>
        <w:spacing w:after="160"/>
      </w:pPr>
      <w:r>
        <w:rPr>
          <w:b/>
          <w:bCs/>
          <w:color w:val="1E2761"/>
        </w:rPr>
        <w:t xml:space="preserve">Recommendation: </w:t>
      </w:r>
      <w:r>
        <w:t xml:space="preserve">don’t just fix the Lion’s Mane error — genericise this entire section across all three SKUs. State WHAT compound is targeted and WHY it matters (mechanism of action, supporting literature), never HOW (solvent, temperature, sequence). E.g. “CLARITY uses a temperature-controlled extraction method optimised to preserve hericenones” is safe; naming the solvent and ceiling is not.</w:t>
      </w:r>
    </w:p>
    <w:p>
      <w:pPr>
        <w:pStyle w:val="Heading1"/>
      </w:pPr>
      <w:r>
        <w:t xml:space="preserve">5. Page-by-Page Findings</w:t>
      </w:r>
    </w:p>
    <w:p>
      <w:pPr>
        <w:pStyle w:val="Heading2"/>
      </w:pPr>
      <w:r>
        <w:t xml:space="preserve">5.1 — Home (index.html)</w:t>
      </w:r>
    </w:p>
    <w:p>
      <w:pPr>
        <w:spacing w:after="160"/>
      </w:pPr>
      <w:r>
        <w:rPr>
          <w:b/>
          <w:bCs/>
          <w:color w:val="B7791F"/>
        </w:rPr>
        <w:t xml:space="preserve">Alignment: </w:t>
      </w:r>
      <w:r>
        <w:rPr>
          <w:i/>
          <w:iCs/>
          <w:color w:val="5A5A5A"/>
        </w:rPr>
        <w:t xml:space="preserve">Partially aligned — correct DPIIT/CIN badges, but problem framing and product detail are stale.</w:t>
      </w:r>
    </w:p>
    <w:p>
      <w:pPr>
        <w:spacing w:after="60" w:before="120"/>
      </w:pPr>
      <w:r>
        <w:rPr>
          <w:b/>
          <w:bCs/>
          <w:color w:val="0B6E4F"/>
        </w:rPr>
        <w:t xml:space="preserve">Missing:</w:t>
      </w:r>
    </w:p>
    <w:p>
      <w:pPr>
        <w:pStyle w:val="ListParagraph"/>
        <w:numPr>
          <w:ilvl w:val="0"/>
          <w:numId w:val="2"/>
        </w:numPr>
        <w:spacing w:after="100"/>
      </w:pPr>
      <w:r>
        <w:t xml:space="preserve">Urad dal as third substrate, the L. brevis name, and any mention of GABA — currently absent from the homepage entirely.</w:t>
      </w:r>
    </w:p>
    <w:p>
      <w:pPr>
        <w:pStyle w:val="ListParagraph"/>
        <w:numPr>
          <w:ilvl w:val="0"/>
          <w:numId w:val="2"/>
        </w:numPr>
        <w:spacing w:after="100"/>
      </w:pPr>
      <w:r>
        <w:t xml:space="preserve">Specific target audience detail (age range, Hosur + Bengaluru geography, daily spend) — currently only implied, not stated.</w:t>
      </w:r>
    </w:p>
    <w:p>
      <w:pPr>
        <w:spacing w:after="60" w:before="120"/>
      </w:pPr>
      <w:r>
        <w:rPr>
          <w:b/>
          <w:bCs/>
          <w:color w:val="B7791F"/>
        </w:rPr>
        <w:t xml:space="preserve">Change:</w:t>
      </w:r>
    </w:p>
    <w:p>
      <w:pPr>
        <w:pStyle w:val="ListParagraph"/>
        <w:numPr>
          <w:ilvl w:val="0"/>
          <w:numId w:val="2"/>
        </w:numPr>
        <w:spacing w:after="100"/>
      </w:pPr>
      <w:r>
        <w:t xml:space="preserve">“The Exhaustion Epidemic / Carbonated Trap / Synthetic Illusion” framing → re-word to match the deck’s four named gaps (cognitive stress &amp; fatigue, micronutrient &amp; adaptogen gap, no India-origin functional RTD, no healthy carbonated alternative) so Home, Problem, and Investors tell one consistent story.</w:t>
      </w:r>
    </w:p>
    <w:p>
      <w:pPr>
        <w:pStyle w:val="ListParagraph"/>
        <w:numPr>
          <w:ilvl w:val="0"/>
          <w:numId w:val="2"/>
        </w:numPr>
        <w:spacing w:after="100"/>
      </w:pPr>
      <w:r>
        <w:t xml:space="preserve">“FSSAI Licensing In Progress” banner wording → tighten to “FSSAI licence application to be filed” per your own approved language rules; “in progress” implies a submitted application that doesn’t exist yet.</w:t>
      </w:r>
    </w:p>
    <w:p>
      <w:pPr>
        <w:pStyle w:val="Heading2"/>
      </w:pPr>
      <w:r>
        <w:t xml:space="preserve">5.2 — About Us (about.html)</w:t>
      </w:r>
    </w:p>
    <w:p>
      <w:pPr>
        <w:spacing w:after="160"/>
      </w:pPr>
      <w:r>
        <w:rPr>
          <w:b/>
          <w:bCs/>
          <w:color w:val="B7791F"/>
        </w:rPr>
        <w:t xml:space="preserve">Alignment: </w:t>
      </w:r>
      <w:r>
        <w:rPr>
          <w:i/>
          <w:iCs/>
          <w:color w:val="5A5A5A"/>
        </w:rPr>
        <w:t xml:space="preserve">Solo-founder narrative from an earlier company stage; team and platform details are out of date.</w:t>
      </w:r>
    </w:p>
    <w:p>
      <w:pPr>
        <w:spacing w:after="60" w:before="120"/>
      </w:pPr>
      <w:r>
        <w:rPr>
          <w:b/>
          <w:bCs/>
          <w:color w:val="0B6E4F"/>
        </w:rPr>
        <w:t xml:space="preserve">Missing:</w:t>
      </w:r>
    </w:p>
    <w:p>
      <w:pPr>
        <w:pStyle w:val="ListParagraph"/>
        <w:numPr>
          <w:ilvl w:val="0"/>
          <w:numId w:val="2"/>
        </w:numPr>
        <w:spacing w:after="100"/>
      </w:pPr>
      <w:r>
        <w:t xml:space="preserve">Libinraj Christopher — not mentioned anywhere on the page. Add a Leadership Team block crediting his actual role: lab operations, intern supervision, sample analysis, document research, compliance documentation support (not “CTO” or “technical lead”).</w:t>
      </w:r>
    </w:p>
    <w:p>
      <w:pPr>
        <w:pStyle w:val="ListParagraph"/>
        <w:numPr>
          <w:ilvl w:val="0"/>
          <w:numId w:val="2"/>
        </w:numPr>
        <w:spacing w:after="100"/>
      </w:pPr>
      <w:r>
        <w:t xml:space="preserve">The 8-person advisory board and the extended team (1 Research Fellow, 7 interns) — strong credibility signal for an incubated deep-tech startup, currently invisible on the public site.</w:t>
      </w:r>
    </w:p>
    <w:p>
      <w:pPr>
        <w:spacing w:after="60" w:before="120"/>
      </w:pPr>
      <w:r>
        <w:rPr>
          <w:b/>
          <w:bCs/>
          <w:color w:val="B7791F"/>
        </w:rPr>
        <w:t xml:space="preserve">Change:</w:t>
      </w:r>
    </w:p>
    <w:p>
      <w:pPr>
        <w:pStyle w:val="ListParagraph"/>
        <w:numPr>
          <w:ilvl w:val="0"/>
          <w:numId w:val="2"/>
        </w:numPr>
        <w:spacing w:after="100"/>
      </w:pPr>
      <w:r>
        <w:t xml:space="preserve">The personal origin story (“I,” “my idea”) can stay as founder narrative, but should be clearly framed as the founder’s personal account, with a separate factual team section alongside it so the company doesn’t read as single-founder to anyone checking the cap table or DPIIT filing.</w:t>
      </w:r>
    </w:p>
    <w:p>
      <w:pPr>
        <w:pStyle w:val="ListParagraph"/>
        <w:numPr>
          <w:ilvl w:val="0"/>
          <w:numId w:val="2"/>
        </w:numPr>
        <w:spacing w:after="100"/>
      </w:pPr>
      <w:r>
        <w:t xml:space="preserve">Ingredients referenced here — Moringa, Kokum, Ashwagandha — are not part of the current locked platform (which is ragi / Karuppu Kavuni / urad dal + Lion’s Mane / Cordyceps / Reishi). Either reframe as explicit future-pipeline exploration or remove so it doesn’t contradict the deck’s platform description.</w:t>
      </w:r>
    </w:p>
    <w:p>
      <w:pPr>
        <w:pStyle w:val="ListParagraph"/>
        <w:numPr>
          <w:ilvl w:val="0"/>
          <w:numId w:val="2"/>
        </w:numPr>
        <w:spacing w:after="100"/>
      </w:pPr>
      <w:r>
        <w:t xml:space="preserve">R&amp;D Activity Log entry (“Run 05 — Ragi + Karuppu Kavuni substrate”) should be updated once SOP-OBI-FERM-001 is revised to the three-substrate formulation — sequence the site update to follow the SOP update, not precede it.</w:t>
      </w:r>
    </w:p>
    <w:p>
      <w:pPr>
        <w:pStyle w:val="Heading2"/>
      </w:pPr>
      <w:r>
        <w:t xml:space="preserve">5.3 — Problem (problem.html) &amp; Our Science (science.html)</w:t>
      </w:r>
    </w:p>
    <w:p>
      <w:pPr>
        <w:spacing w:after="160"/>
      </w:pPr>
      <w:r>
        <w:rPr>
          <w:b/>
          <w:bCs/>
          <w:color w:val="B7791F"/>
        </w:rPr>
        <w:t xml:space="preserve">Alignment: </w:t>
      </w:r>
      <w:r>
        <w:rPr>
          <w:i/>
          <w:iCs/>
          <w:color w:val="5A5A5A"/>
        </w:rPr>
        <w:t xml:space="preserve">Largely overlapping content; both still two-substrate and led by a micronutrient-deficiency story rather than the cognitive/functional-beverage story.</w:t>
      </w:r>
    </w:p>
    <w:p>
      <w:pPr>
        <w:spacing w:after="60" w:before="120"/>
      </w:pPr>
      <w:r>
        <w:rPr>
          <w:b/>
          <w:bCs/>
          <w:color w:val="0B6E4F"/>
        </w:rPr>
        <w:t xml:space="preserve">Missing:</w:t>
      </w:r>
    </w:p>
    <w:p>
      <w:pPr>
        <w:pStyle w:val="ListParagraph"/>
        <w:numPr>
          <w:ilvl w:val="0"/>
          <w:numId w:val="2"/>
        </w:numPr>
        <w:spacing w:after="100"/>
      </w:pPr>
      <w:r>
        <w:t xml:space="preserve">The “no India-origin functional RTD” and “no healthy carbonated alternative” angles from the deck — currently only a generic “Origin Gap” bullet on Home, not developed here.</w:t>
      </w:r>
    </w:p>
    <w:p>
      <w:pPr>
        <w:pStyle w:val="ListParagraph"/>
        <w:numPr>
          <w:ilvl w:val="0"/>
          <w:numId w:val="2"/>
        </w:numPr>
        <w:spacing w:after="100"/>
      </w:pPr>
      <w:r>
        <w:t xml:space="preserve">Any mention of GABA or L. brevis as part of the science story.</w:t>
      </w:r>
    </w:p>
    <w:p>
      <w:pPr>
        <w:spacing w:after="60" w:before="120"/>
      </w:pPr>
      <w:r>
        <w:rPr>
          <w:b/>
          <w:bCs/>
          <w:color w:val="B7791F"/>
        </w:rPr>
        <w:t xml:space="preserve">Change:</w:t>
      </w:r>
    </w:p>
    <w:p>
      <w:pPr>
        <w:pStyle w:val="ListParagraph"/>
        <w:numPr>
          <w:ilvl w:val="0"/>
          <w:numId w:val="2"/>
        </w:numPr>
        <w:spacing w:after="100"/>
      </w:pPr>
      <w:r>
        <w:t xml:space="preserve">Reorder the lead problem: cognitive fatigue + functional bioactive gap should be primary (this is what the product is actually formulated to address); demote the anaemia/B12/Vitamin D micronutrient framing to supporting context for the fermentation/bioavailability story, since the product’s core differentiation is the mushroom bioactive + GABA layer, not micronutrient fortification.</w:t>
      </w:r>
    </w:p>
    <w:p>
      <w:pPr>
        <w:pStyle w:val="ListParagraph"/>
        <w:numPr>
          <w:ilvl w:val="0"/>
          <w:numId w:val="2"/>
        </w:numPr>
        <w:spacing w:after="100"/>
      </w:pPr>
      <w:r>
        <w:t xml:space="preserve">[CRITICAL — see Section 2.3] Correct or genericise the Lion’s Mane extraction method description; recommend genericising per Section 4 rather than just fixing the factual error.</w:t>
      </w:r>
    </w:p>
    <w:p>
      <w:pPr>
        <w:spacing w:after="60" w:before="120"/>
      </w:pPr>
      <w:r>
        <w:rPr>
          <w:b/>
          <w:bCs/>
          <w:color w:val="B00020"/>
        </w:rPr>
        <w:t xml:space="preserve">Remove:</w:t>
      </w:r>
    </w:p>
    <w:p>
      <w:pPr>
        <w:pStyle w:val="ListParagraph"/>
        <w:numPr>
          <w:ilvl w:val="0"/>
          <w:numId w:val="2"/>
        </w:numPr>
        <w:spacing w:after="100"/>
      </w:pPr>
      <w:r>
        <w:t xml:space="preserve">Vitamin K2 (MK-7) citation in the literature list — not part of any current SKU; leftover from an earlier formulation concept.</w:t>
      </w:r>
    </w:p>
    <w:p>
      <w:pPr>
        <w:pStyle w:val="ListParagraph"/>
        <w:numPr>
          <w:ilvl w:val="0"/>
          <w:numId w:val="2"/>
        </w:numPr>
        <w:spacing w:after="100"/>
      </w:pPr>
      <w:r>
        <w:t xml:space="preserve">Specific solvent-sequence / temperature-ceiling extraction detail per Section 4 (patent-sensitivity guardrail), independent of whether the underlying claim is accurate.</w:t>
      </w:r>
    </w:p>
    <w:p>
      <w:pPr>
        <w:pStyle w:val="Heading2"/>
      </w:pPr>
      <w:r>
        <w:t xml:space="preserve">5.4 — Ingredients (ingredients.html)</w:t>
      </w:r>
    </w:p>
    <w:p>
      <w:pPr>
        <w:spacing w:after="160"/>
      </w:pPr>
      <w:r>
        <w:rPr>
          <w:b/>
          <w:bCs/>
          <w:color w:val="B00020"/>
        </w:rPr>
        <w:t xml:space="preserve">Alignment: </w:t>
      </w:r>
      <w:r>
        <w:rPr>
          <w:i/>
          <w:iCs/>
          <w:color w:val="5A5A5A"/>
        </w:rPr>
        <w:t xml:space="preserve">Effectively an empty page — nav promises “raw extracts and compounds”, page delivers only a CoA-at-launch placeholder.</w:t>
      </w:r>
    </w:p>
    <w:p>
      <w:pPr>
        <w:spacing w:after="60" w:before="120"/>
      </w:pPr>
      <w:r>
        <w:rPr>
          <w:b/>
          <w:bCs/>
          <w:color w:val="0B6E4F"/>
        </w:rPr>
        <w:t xml:space="preserve">Missing:</w:t>
      </w:r>
    </w:p>
    <w:p>
      <w:pPr>
        <w:pStyle w:val="ListParagraph"/>
        <w:numPr>
          <w:ilvl w:val="0"/>
          <w:numId w:val="2"/>
        </w:numPr>
        <w:spacing w:after="100"/>
      </w:pPr>
      <w:r>
        <w:t xml:space="preserve">All actual ingredient content. This is a strong PR opportunity sitting unused: the Karuppu Kavuni GI-tag / heirloom-variety-conservation story, why each grain and mushroom was chosen, and general (non-patent-sensitive) sourcing narrative. Recommend building this out rather than leaving it stubbed — or removing the nav link until it’s ready, since an empty page under a promising link reads worse than no link at all.</w:t>
      </w:r>
    </w:p>
    <w:p>
      <w:pPr>
        <w:pStyle w:val="Heading2"/>
      </w:pPr>
      <w:r>
        <w:t xml:space="preserve">5.5 — Investors (investors.html)</w:t>
      </w:r>
    </w:p>
    <w:p>
      <w:pPr>
        <w:spacing w:after="160"/>
      </w:pPr>
      <w:r>
        <w:rPr>
          <w:b/>
          <w:bCs/>
          <w:color w:val="0B6E4F"/>
        </w:rPr>
        <w:t xml:space="preserve">Alignment: </w:t>
      </w:r>
      <w:r>
        <w:rPr>
          <w:i/>
          <w:iCs/>
          <w:color w:val="5A5A5A"/>
        </w:rPr>
        <w:t xml:space="preserve">Closest page to the new direction — use as the template for updating the rest of the site.</w:t>
      </w:r>
    </w:p>
    <w:p>
      <w:pPr>
        <w:spacing w:after="60" w:before="120"/>
      </w:pPr>
      <w:r>
        <w:rPr>
          <w:b/>
          <w:bCs/>
          <w:color w:val="0B6E4F"/>
        </w:rPr>
        <w:t xml:space="preserve">Missing:</w:t>
      </w:r>
    </w:p>
    <w:p>
      <w:pPr>
        <w:pStyle w:val="ListParagraph"/>
        <w:numPr>
          <w:ilvl w:val="0"/>
          <w:numId w:val="2"/>
        </w:numPr>
        <w:spacing w:after="100"/>
      </w:pPr>
      <w:r>
        <w:t xml:space="preserve">Team and advisory-board credibility section — investors specifically weight team strength; currently absent here too.</w:t>
      </w:r>
    </w:p>
    <w:p>
      <w:pPr>
        <w:spacing w:after="60" w:before="120"/>
      </w:pPr>
      <w:r>
        <w:rPr>
          <w:b/>
          <w:bCs/>
          <w:color w:val="B7791F"/>
        </w:rPr>
        <w:t xml:space="preserve">Change:</w:t>
      </w:r>
    </w:p>
    <w:p>
      <w:pPr>
        <w:pStyle w:val="ListParagraph"/>
        <w:numPr>
          <w:ilvl w:val="0"/>
          <w:numId w:val="2"/>
        </w:numPr>
        <w:spacing w:after="100"/>
      </w:pPr>
      <w:r>
        <w:t xml:space="preserve">“File for Proprietary IP protection” (Year 1 roadmap) overstates patent status. Replace with approved language: “Patent: discussions initiated with registered patent agent; provisional filing planned post-HPLC validation and MTCC strain deposit.”</w:t>
      </w:r>
    </w:p>
    <w:p>
      <w:pPr>
        <w:pStyle w:val="ListParagraph"/>
        <w:numPr>
          <w:ilvl w:val="0"/>
          <w:numId w:val="2"/>
        </w:numPr>
        <w:spacing w:after="100"/>
      </w:pPr>
      <w:r>
        <w:t xml:space="preserve">Competitor table could add the two real Indian fermented-millet RTD competitors named in the deck (BlissBody, milSipp/Gutzy) for a sharper, more current differentiation story — the deck treats naming them as a strength, not a risk.</w:t>
      </w:r>
    </w:p>
    <w:p>
      <w:pPr>
        <w:pStyle w:val="Heading2"/>
      </w:pPr>
      <w:r>
        <w:t xml:space="preserve">5.6 — FAQ (faq.html)</w:t>
      </w:r>
    </w:p>
    <w:p>
      <w:pPr>
        <w:spacing w:after="160"/>
      </w:pPr>
      <w:r>
        <w:rPr>
          <w:b/>
          <w:bCs/>
          <w:color w:val="B00020"/>
        </w:rPr>
        <w:t xml:space="preserve">Alignment: </w:t>
      </w:r>
      <w:r>
        <w:rPr>
          <w:i/>
          <w:iCs/>
          <w:color w:val="5A5A5A"/>
        </w:rPr>
        <w:t xml:space="preserve">Contains the incorporation-status error (Section 2.1) and describes a much broader, unfocused R&amp;D scope than the current platform.</w:t>
      </w:r>
    </w:p>
    <w:p>
      <w:pPr>
        <w:spacing w:after="60" w:before="120"/>
      </w:pPr>
      <w:r>
        <w:rPr>
          <w:b/>
          <w:bCs/>
          <w:color w:val="B7791F"/>
        </w:rPr>
        <w:t xml:space="preserve">Change:</w:t>
      </w:r>
    </w:p>
    <w:p>
      <w:pPr>
        <w:pStyle w:val="ListParagraph"/>
        <w:numPr>
          <w:ilvl w:val="0"/>
          <w:numId w:val="2"/>
        </w:numPr>
        <w:spacing w:after="100"/>
      </w:pPr>
      <w:r>
        <w:t xml:space="preserve">[CRITICAL — see Section 2.1] Incorporation status claim.</w:t>
      </w:r>
    </w:p>
    <w:p>
      <w:pPr>
        <w:pStyle w:val="ListParagraph"/>
        <w:numPr>
          <w:ilvl w:val="0"/>
          <w:numId w:val="2"/>
        </w:numPr>
        <w:spacing w:after="100"/>
      </w:pPr>
      <w:r>
        <w:t xml:space="preserve">“Gut health, skin microbiome, food safety, and sustainable bio-based materials” R&amp;D scope → narrow to the current three-SKU beverage platform so the FAQ matches the deck’s focused beachhead story rather than reading as an open-ended research lab.</w:t>
      </w:r>
    </w:p>
    <w:p>
      <w:pPr>
        <w:pStyle w:val="ListParagraph"/>
        <w:numPr>
          <w:ilvl w:val="0"/>
          <w:numId w:val="2"/>
        </w:numPr>
        <w:spacing w:after="100"/>
      </w:pPr>
      <w:r>
        <w:t xml:space="preserve">“Probiotic strain isolation” → align to postbiotic terminology per Section 2.4.</w:t>
      </w:r>
    </w:p>
    <w:p>
      <w:pPr>
        <w:spacing w:after="60" w:before="120"/>
      </w:pPr>
      <w:r>
        <w:rPr>
          <w:b/>
          <w:bCs/>
          <w:color w:val="0B6E4F"/>
        </w:rPr>
        <w:t xml:space="preserve">Missing:</w:t>
      </w:r>
    </w:p>
    <w:p>
      <w:pPr>
        <w:pStyle w:val="ListParagraph"/>
        <w:numPr>
          <w:ilvl w:val="0"/>
          <w:numId w:val="2"/>
        </w:numPr>
        <w:spacing w:after="100"/>
      </w:pPr>
      <w:r>
        <w:t xml:space="preserve">CLARITY / MOMENTUM / VITALITY are not named anywhere in the FAQ, despite the FAQ being a likely first stop for an applicant or partner trying to understand what you actually make.</w:t>
      </w:r>
    </w:p>
    <w:p>
      <w:pPr>
        <w:pStyle w:val="Heading2"/>
      </w:pPr>
      <w:r>
        <w:t xml:space="preserve">5.7 — Careers (careers.html)</w:t>
      </w:r>
    </w:p>
    <w:p>
      <w:pPr>
        <w:spacing w:after="160"/>
      </w:pPr>
      <w:r>
        <w:rPr>
          <w:b/>
          <w:bCs/>
          <w:color w:val="B7791F"/>
        </w:rPr>
        <w:t xml:space="preserve">Alignment: </w:t>
      </w:r>
      <w:r>
        <w:rPr>
          <w:i/>
          <w:iCs/>
          <w:color w:val="5A5A5A"/>
        </w:rPr>
        <w:t xml:space="preserve">Mostly fine as a careers page; a couple of regulatory/scope precision issues.</w:t>
      </w:r>
    </w:p>
    <w:p>
      <w:pPr>
        <w:spacing w:after="60" w:before="120"/>
      </w:pPr>
      <w:r>
        <w:rPr>
          <w:b/>
          <w:bCs/>
          <w:color w:val="B7791F"/>
        </w:rPr>
        <w:t xml:space="preserve">Change:</w:t>
      </w:r>
    </w:p>
    <w:p>
      <w:pPr>
        <w:pStyle w:val="ListParagraph"/>
        <w:numPr>
          <w:ilvl w:val="0"/>
          <w:numId w:val="2"/>
        </w:numPr>
        <w:spacing w:after="100"/>
      </w:pPr>
      <w:r>
        <w:t xml:space="preserve">Remove the CDSCO reference (Section 2.4) — only FSSAI applies to this product category.</w:t>
      </w:r>
    </w:p>
    <w:p>
      <w:pPr>
        <w:pStyle w:val="ListParagraph"/>
        <w:numPr>
          <w:ilvl w:val="0"/>
          <w:numId w:val="2"/>
        </w:numPr>
        <w:spacing w:after="100"/>
      </w:pPr>
      <w:r>
        <w:t xml:space="preserve">“Bio-fermented topical cosmetics” as a target application area → remove or clearly label as future-pipeline only; current platform is beverages.</w:t>
      </w:r>
    </w:p>
    <w:p>
      <w:pPr>
        <w:pStyle w:val="ListParagraph"/>
        <w:numPr>
          <w:ilvl w:val="0"/>
          <w:numId w:val="2"/>
        </w:numPr>
        <w:spacing w:after="100"/>
      </w:pPr>
      <w:r>
        <w:t xml:space="preserve">“Advanced probiotic formulations” wording → align to postbiotic terminology.</w:t>
      </w:r>
    </w:p>
    <w:p>
      <w:pPr>
        <w:pStyle w:val="Heading2"/>
      </w:pPr>
      <w:r>
        <w:t xml:space="preserve">5.8 — Blog (blog.html + posts)</w:t>
      </w:r>
    </w:p>
    <w:p>
      <w:pPr>
        <w:spacing w:after="160"/>
      </w:pPr>
      <w:r>
        <w:rPr>
          <w:b/>
          <w:bCs/>
          <w:color w:val="B7791F"/>
        </w:rPr>
        <w:t xml:space="preserve">Alignment: </w:t>
      </w:r>
      <w:r>
        <w:rPr>
          <w:i/>
          <w:iCs/>
          <w:color w:val="5A5A5A"/>
        </w:rPr>
        <w:t xml:space="preserve">Entirely framed around the earlier micronutrient-deficiency narrative; most visible recent content contradicts the new story.</w:t>
      </w:r>
    </w:p>
    <w:p>
      <w:pPr>
        <w:spacing w:after="60" w:before="120"/>
      </w:pPr>
      <w:r>
        <w:rPr>
          <w:b/>
          <w:bCs/>
          <w:color w:val="B7791F"/>
        </w:rPr>
        <w:t xml:space="preserve">Change:</w:t>
      </w:r>
    </w:p>
    <w:p>
      <w:pPr>
        <w:pStyle w:val="ListParagraph"/>
        <w:numPr>
          <w:ilvl w:val="0"/>
          <w:numId w:val="2"/>
        </w:numPr>
        <w:spacing w:after="100"/>
      </w:pPr>
      <w:r>
        <w:t xml:space="preserve">All four existing posts (origin story, phytic acid, “Why Ragi?”, lab journal) and both “upcoming” teasers are built around the anaemia/B12/Vitamin D framing and the two-substrate platform. Leave as a dated archive if you want the build-in-public history intact, but don’t let it remain the newest content — add 1–2 posts reflecting the current direction.</w:t>
      </w:r>
    </w:p>
    <w:p>
      <w:pPr>
        <w:spacing w:after="60" w:before="120"/>
      </w:pPr>
      <w:r>
        <w:rPr>
          <w:b/>
          <w:bCs/>
          <w:color w:val="0B6E4F"/>
        </w:rPr>
        <w:t xml:space="preserve">Missing:</w:t>
      </w:r>
    </w:p>
    <w:p>
      <w:pPr>
        <w:pStyle w:val="ListParagraph"/>
        <w:numPr>
          <w:ilvl w:val="0"/>
          <w:numId w:val="2"/>
        </w:numPr>
        <w:spacing w:after="100"/>
      </w:pPr>
      <w:r>
        <w:t xml:space="preserve">A post on the cognitive-fatigue / GABA / L. brevis story, and one on the Karuppu Kavuni GI-tag heirloom-conservation angle — a genuinely strong, differentiated PR hook that isn’t used anywhere on the current site.</w:t>
      </w:r>
    </w:p>
    <w:p>
      <w:pPr>
        <w:pStyle w:val="Heading2"/>
      </w:pPr>
      <w:r>
        <w:t xml:space="preserve">5.9 — Contact (contact.html)</w:t>
      </w:r>
    </w:p>
    <w:p>
      <w:pPr>
        <w:spacing w:after="160"/>
      </w:pPr>
      <w:r>
        <w:rPr>
          <w:b/>
          <w:bCs/>
          <w:color w:val="B00020"/>
        </w:rPr>
        <w:t xml:space="preserve">Alignment: </w:t>
      </w:r>
      <w:r>
        <w:rPr>
          <w:i/>
          <w:iCs/>
          <w:color w:val="5A5A5A"/>
        </w:rPr>
        <w:t xml:space="preserve">Contains the conflicting-address error (Section 2.2).</w:t>
      </w:r>
    </w:p>
    <w:p>
      <w:pPr>
        <w:spacing w:after="60" w:before="120"/>
      </w:pPr>
      <w:r>
        <w:rPr>
          <w:b/>
          <w:bCs/>
          <w:color w:val="B7791F"/>
        </w:rPr>
        <w:t xml:space="preserve">Change:</w:t>
      </w:r>
    </w:p>
    <w:p>
      <w:pPr>
        <w:pStyle w:val="ListParagraph"/>
        <w:numPr>
          <w:ilvl w:val="0"/>
          <w:numId w:val="2"/>
        </w:numPr>
        <w:spacing w:after="100"/>
      </w:pPr>
      <w:r>
        <w:t xml:space="preserve">[CRITICAL — see Section 2.2] Conflicting Namakkal / Hosur addresses.</w:t>
      </w:r>
    </w:p>
    <w:p>
      <w:pPr>
        <w:pStyle w:val="ListParagraph"/>
        <w:numPr>
          <w:ilvl w:val="0"/>
          <w:numId w:val="2"/>
        </w:numPr>
        <w:spacing w:after="100"/>
      </w:pPr>
      <w:r>
        <w:t xml:space="preserve">Instagram link is in the site-wide footer but missing from this page’s “Connect” block — minor, add for consistency.</w:t>
      </w:r>
    </w:p>
    <w:p>
      <w:pPr>
        <w:pStyle w:val="Heading1"/>
      </w:pPr>
      <w:r>
        <w:t xml:space="preserve">6. Consolidated Action List</w:t>
      </w:r>
    </w:p>
    <w:p>
      <w:pPr>
        <w:spacing w:after="160"/>
      </w:pPr>
      <w:r>
        <w:t xml:space="preserve">Same findings as Section 5, sorted by priority instead of by page — useful if you’re briefing a developer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Priority</w:t>
            </w:r>
          </w:p>
        </w:tc>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Page</w:t>
            </w:r>
          </w:p>
        </w:tc>
        <w:tc>
          <w:tcPr>
            <w:tcW w:type="dxa" w:w="57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top"/>
          </w:tcPr>
          <w:p>
            <w:r>
              <w:rPr>
                <w:b/>
                <w:bCs/>
                <w:color w:val="FFFFFF"/>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00020"/>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FAQ</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Fix incorporation-status claim — contradicts site’s own footer.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00020"/>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Contact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Remove conflicting Namakkal address; keep Hosur incubation address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00020"/>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Science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Correct or genericise the Lion’s Mane extraction-method claim.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7791F"/>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Home / Problem / Science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Re-lead with cognitive-fatigue + no-India-RTD + carbonated-trap framing; demote micronutrient-deficiency framing to supporting 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7791F"/>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About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Add Libinraj Christopher, advisory board, and extended team. Reframe solo-founder narrative.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7791F"/>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Home / Problem / Science / About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Introduce urad dal, L. brevis, and GABA into the public narrative (general terms only — no ratios, no GAD pathway detail).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B7791F"/>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Science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Genericise all three SKUs’ extraction descriptions per the patent-sensitivity guardrail (Section 4); remove Vitamin K2 citation.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0B6E4F"/>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FAQ / Careers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Narrow R&amp;D scope language to the current 3-SKU platform; fix probiotic→postbiotic terminology; remove CDSCO reference.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0B6E4F"/>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Ingredients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Build out real content (GI-tag / heirloom story, why each ingredient) or remove the nav link until 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0B6E4F"/>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Investors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Fix “File for Proprietary IP protection” wording; add team section; optionally name BlissBody/milSipp as competitors.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5A5A5A"/>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Blog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rPr>
              <w:t xml:space="preserve">Publish 1–2 posts reflecting the new direction (GABA/L. brevis story, Karuppu Kavuni heirloom story).</w:t>
            </w:r>
          </w:p>
        </w:tc>
      </w:tr>
    </w:tbl>
    <w:p>
      <w:pPr>
        <w:spacing w:before="200"/>
      </w:pPr>
      <w:r>
        <w:t xml:space="preserve"/>
      </w:r>
    </w:p>
    <w:p>
      <w:pPr>
        <w:pStyle w:val="Heading1"/>
      </w:pPr>
      <w:r>
        <w:t xml:space="preserve">7. Recommended Next Steps</w:t>
      </w:r>
    </w:p>
    <w:p>
      <w:pPr>
        <w:pStyle w:val="ListParagraph"/>
        <w:numPr>
          <w:ilvl w:val="0"/>
          <w:numId w:val="2"/>
        </w:numPr>
        <w:spacing w:after="100"/>
      </w:pPr>
      <w:r>
        <w:t xml:space="preserve">Fix the three P0 items first — they’re each a single paragraph or address block, not a redesign, and they’re the ones a sharp reviewer notices fastest.</w:t>
      </w:r>
    </w:p>
    <w:p>
      <w:pPr>
        <w:pStyle w:val="ListParagraph"/>
        <w:numPr>
          <w:ilvl w:val="0"/>
          <w:numId w:val="2"/>
        </w:numPr>
        <w:spacing w:after="100"/>
      </w:pPr>
      <w:r>
        <w:t xml:space="preserve">Update SOP-OBI-FERM-001 to the three-substrate formulation before publicising urad dal / 3-substrate language site-wide, so the public site and your internal SOP stop disagreeing with each other (this is also flagged in your internal documentation as an open item).</w:t>
      </w:r>
    </w:p>
    <w:p>
      <w:pPr>
        <w:pStyle w:val="ListParagraph"/>
        <w:numPr>
          <w:ilvl w:val="0"/>
          <w:numId w:val="2"/>
        </w:numPr>
        <w:spacing w:after="100"/>
      </w:pPr>
      <w:r>
        <w:t xml:space="preserve">Use investors.html as the reference voice and fact-base for rewriting Home, About, Problem, and Science — it’s already closest to the deck.</w:t>
      </w:r>
    </w:p>
    <w:p>
      <w:pPr>
        <w:pStyle w:val="ListParagraph"/>
        <w:numPr>
          <w:ilvl w:val="0"/>
          <w:numId w:val="2"/>
        </w:numPr>
        <w:spacing w:after="100"/>
      </w:pPr>
      <w:r>
        <w:t xml:space="preserve">If you share the GitHub repo, I can go in and make the actual copy/code changes directly rather than just specifying them.</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A5A5A"/>
        <w:sz w:val="16"/>
        <w:szCs w:val="16"/>
      </w:rPr>
      <w:t xml:space="preserve">OBI — Website Gap Analysis</w:t>
    </w:r>
    <w:r>
      <w:rPr>
        <w:color w:val="5A5A5A"/>
        <w:sz w:val="16"/>
        <w:szCs w:val="16"/>
      </w:rPr>
      <w:t xml:space="preserve">	Internal · Not for external circulation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E2761"/>
      <w:sz w:val="40"/>
      <w:szCs w:val="40"/>
    </w:rPr>
  </w:style>
  <w:style w:type="paragraph" w:styleId="Heading1">
    <w:name w:val="Heading 1"/>
    <w:basedOn w:val="Normal"/>
    <w:next w:val="Normal"/>
    <w:qFormat/>
    <w:pPr>
      <w:pBdr>
        <w:bottom w:val="single" w:color="CCCCCC" w:sz="4" w:space="4"/>
      </w:pBdr>
      <w:spacing w:after="16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E2761"/>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5A5A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2026-06-20T17:01:26.532Z</dcterms:created>
  <dcterms:modified xsi:type="dcterms:W3CDTF">2026-06-20T17:01:26.533Z</dcterms:modified>
</cp:coreProperties>
</file>

<file path=docProps/custom.xml><?xml version="1.0" encoding="utf-8"?>
<Properties xmlns="http://schemas.openxmlformats.org/officeDocument/2006/custom-properties" xmlns:vt="http://schemas.openxmlformats.org/officeDocument/2006/docPropsVTypes"/>
</file>