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B172" w14:textId="77777777" w:rsidR="00DA3F37" w:rsidRDefault="00000000">
      <w:pPr>
        <w:spacing w:before="200" w:after="200"/>
        <w:jc w:val="center"/>
      </w:pPr>
      <w:r>
        <w:rPr>
          <w:noProof/>
        </w:rPr>
        <w:drawing>
          <wp:inline distT="0" distB="0" distL="0" distR="0" wp14:anchorId="11D95F92" wp14:editId="5B341856">
            <wp:extent cx="1809750" cy="1676400"/>
            <wp:effectExtent l="0" t="0" r="0" b="0"/>
            <wp:docPr id="1" name="logo" descr="Malla Reddy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676400"/>
                    </a:xfrm>
                    <a:prstGeom prst="rect">
                      <a:avLst/>
                    </a:prstGeom>
                  </pic:spPr>
                </pic:pic>
              </a:graphicData>
            </a:graphic>
          </wp:inline>
        </w:drawing>
      </w:r>
    </w:p>
    <w:p w14:paraId="5935338F" w14:textId="77777777" w:rsidR="00DA3F37" w:rsidRDefault="00000000">
      <w:pPr>
        <w:spacing w:after="100"/>
        <w:jc w:val="center"/>
      </w:pPr>
      <w:r>
        <w:rPr>
          <w:b/>
          <w:bCs/>
          <w:color w:val="1F4E79"/>
          <w:sz w:val="34"/>
          <w:szCs w:val="34"/>
        </w:rPr>
        <w:t>MALLA REDDY UNIVERSITY</w:t>
      </w:r>
    </w:p>
    <w:p w14:paraId="6907EA49" w14:textId="77777777" w:rsidR="00DA3F37" w:rsidRDefault="00000000">
      <w:pPr>
        <w:spacing w:before="200" w:after="300"/>
        <w:jc w:val="center"/>
      </w:pPr>
      <w:r>
        <w:rPr>
          <w:b/>
          <w:bCs/>
          <w:sz w:val="34"/>
          <w:szCs w:val="34"/>
        </w:rPr>
        <w:t>SentinelAI: An AI-Powered Cyber Defense Platform for Honeypot-Driven Threat Detection, Correlation, Investigation and SOC Automation</w:t>
      </w:r>
    </w:p>
    <w:p w14:paraId="6FB3DD97" w14:textId="77777777" w:rsidR="00DA3F37" w:rsidRDefault="00000000">
      <w:pPr>
        <w:spacing w:after="100"/>
        <w:jc w:val="center"/>
      </w:pPr>
      <w:r>
        <w:rPr>
          <w:b/>
          <w:bCs/>
          <w:sz w:val="26"/>
          <w:szCs w:val="26"/>
        </w:rPr>
        <w:t>Design &amp; developed by</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tblGrid>
      <w:tr w:rsidR="00DA3F37" w14:paraId="32BC2809"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6248D959" w14:textId="77777777" w:rsidR="00DA3F37" w:rsidRDefault="00000000">
            <w:pPr>
              <w:spacing w:after="40"/>
            </w:pPr>
            <w:r>
              <w:t>G VAISHNAV KUMAR</w:t>
            </w:r>
          </w:p>
        </w:tc>
        <w:tc>
          <w:tcPr>
            <w:tcW w:w="2600" w:type="dxa"/>
            <w:tcBorders>
              <w:top w:val="none" w:sz="0" w:space="0" w:color="FFFFFF"/>
              <w:left w:val="none" w:sz="0" w:space="0" w:color="FFFFFF"/>
              <w:bottom w:val="none" w:sz="0" w:space="0" w:color="FFFFFF"/>
              <w:right w:val="none" w:sz="0" w:space="0" w:color="FFFFFF"/>
            </w:tcBorders>
          </w:tcPr>
          <w:p w14:paraId="1FC70FF7" w14:textId="4CF3373F" w:rsidR="00DA3F37" w:rsidRDefault="00C049F1">
            <w:pPr>
              <w:spacing w:after="40"/>
            </w:pPr>
            <w:r>
              <w:t>2311CS040053</w:t>
            </w:r>
          </w:p>
        </w:tc>
      </w:tr>
      <w:tr w:rsidR="00DA3F37" w14:paraId="3ADD60C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758A8AC" w14:textId="3A3A6C98" w:rsidR="00DA3F37" w:rsidRDefault="00C049F1">
            <w:pPr>
              <w:spacing w:after="40"/>
            </w:pPr>
            <w:r>
              <w:t>G HARSHAL</w:t>
            </w:r>
          </w:p>
        </w:tc>
        <w:tc>
          <w:tcPr>
            <w:tcW w:w="2600" w:type="dxa"/>
            <w:tcBorders>
              <w:top w:val="none" w:sz="0" w:space="0" w:color="FFFFFF"/>
              <w:left w:val="none" w:sz="0" w:space="0" w:color="FFFFFF"/>
              <w:bottom w:val="none" w:sz="0" w:space="0" w:color="FFFFFF"/>
              <w:right w:val="none" w:sz="0" w:space="0" w:color="FFFFFF"/>
            </w:tcBorders>
          </w:tcPr>
          <w:p w14:paraId="1F4BD2A9" w14:textId="0D13B9D5" w:rsidR="00DA3F37" w:rsidRDefault="00C049F1">
            <w:pPr>
              <w:spacing w:after="40"/>
            </w:pPr>
            <w:r>
              <w:t>2311CS040059</w:t>
            </w:r>
          </w:p>
        </w:tc>
      </w:tr>
      <w:tr w:rsidR="00DA3F37" w14:paraId="3AAD72F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59D5B144" w14:textId="0FD35A43" w:rsidR="00DA3F37" w:rsidRDefault="00C049F1">
            <w:pPr>
              <w:spacing w:after="40"/>
            </w:pPr>
            <w:r>
              <w:t>CH DEEPAK</w:t>
            </w:r>
          </w:p>
        </w:tc>
        <w:tc>
          <w:tcPr>
            <w:tcW w:w="2600" w:type="dxa"/>
            <w:tcBorders>
              <w:top w:val="none" w:sz="0" w:space="0" w:color="FFFFFF"/>
              <w:left w:val="none" w:sz="0" w:space="0" w:color="FFFFFF"/>
              <w:bottom w:val="none" w:sz="0" w:space="0" w:color="FFFFFF"/>
              <w:right w:val="none" w:sz="0" w:space="0" w:color="FFFFFF"/>
            </w:tcBorders>
          </w:tcPr>
          <w:p w14:paraId="75FE5FC8" w14:textId="6E82FF08" w:rsidR="00DA3F37" w:rsidRDefault="00C049F1">
            <w:pPr>
              <w:spacing w:after="40"/>
            </w:pPr>
            <w:r>
              <w:t>2311CS040033</w:t>
            </w:r>
          </w:p>
        </w:tc>
      </w:tr>
    </w:tbl>
    <w:p w14:paraId="2B1F67FC" w14:textId="77777777" w:rsidR="00DA3F37" w:rsidRDefault="00000000">
      <w:pPr>
        <w:spacing w:before="300" w:after="60"/>
        <w:jc w:val="center"/>
      </w:pPr>
      <w:r>
        <w:rPr>
          <w:b/>
          <w:bCs/>
          <w:sz w:val="26"/>
          <w:szCs w:val="26"/>
        </w:rPr>
        <w:t>GUIDED BY</w:t>
      </w:r>
    </w:p>
    <w:p w14:paraId="549D9CAF" w14:textId="3D90B706" w:rsidR="00C049F1" w:rsidRDefault="00C049F1" w:rsidP="00C049F1">
      <w:pPr>
        <w:spacing w:after="100"/>
        <w:jc w:val="center"/>
      </w:pPr>
      <w:r>
        <w:rPr>
          <w:b/>
          <w:bCs/>
          <w:sz w:val="26"/>
          <w:szCs w:val="26"/>
        </w:rPr>
        <w:t>Dr. G. Latha</w:t>
      </w:r>
    </w:p>
    <w:p w14:paraId="5F589507" w14:textId="6E191DEA" w:rsidR="00C049F1" w:rsidRPr="00C049F1" w:rsidRDefault="00C049F1" w:rsidP="00C049F1">
      <w:pPr>
        <w:spacing w:after="100"/>
        <w:jc w:val="center"/>
      </w:pPr>
      <w:r>
        <w:rPr>
          <w:b/>
          <w:bCs/>
        </w:rPr>
        <w:t>Associate Professor</w:t>
      </w:r>
    </w:p>
    <w:p w14:paraId="4987D479" w14:textId="0A4DA250" w:rsidR="00DA3F37" w:rsidRDefault="00000000">
      <w:pPr>
        <w:spacing w:before="500" w:after="60"/>
        <w:jc w:val="center"/>
      </w:pPr>
      <w:r>
        <w:rPr>
          <w:b/>
          <w:bCs/>
          <w:sz w:val="26"/>
          <w:szCs w:val="26"/>
        </w:rPr>
        <w:t>Department of Computer Science &amp; Engineering (Cyber Security)</w:t>
      </w:r>
    </w:p>
    <w:p w14:paraId="7AEEF5AD" w14:textId="77777777" w:rsidR="00DA3F37" w:rsidRDefault="00000000">
      <w:pPr>
        <w:spacing w:after="100"/>
        <w:jc w:val="center"/>
      </w:pPr>
      <w:r>
        <w:rPr>
          <w:b/>
          <w:bCs/>
          <w:sz w:val="26"/>
          <w:szCs w:val="26"/>
        </w:rPr>
        <w:t>IV YR - I SEM</w:t>
      </w:r>
    </w:p>
    <w:p w14:paraId="3C53F83E" w14:textId="77777777" w:rsidR="00DA3F37" w:rsidRDefault="00000000">
      <w:pPr>
        <w:spacing w:after="100"/>
        <w:jc w:val="center"/>
      </w:pPr>
      <w:r>
        <w:rPr>
          <w:b/>
          <w:bCs/>
          <w:sz w:val="26"/>
          <w:szCs w:val="26"/>
        </w:rPr>
        <w:t>Malla Reddy University, Hyderabad</w:t>
      </w:r>
    </w:p>
    <w:p w14:paraId="7C6728E1" w14:textId="77777777" w:rsidR="00DA3F37" w:rsidRDefault="00000000">
      <w:pPr>
        <w:spacing w:after="100"/>
        <w:jc w:val="center"/>
      </w:pPr>
      <w:r>
        <w:rPr>
          <w:b/>
          <w:bCs/>
          <w:sz w:val="26"/>
          <w:szCs w:val="26"/>
        </w:rPr>
        <w:t>2023-2027</w:t>
      </w:r>
    </w:p>
    <w:p w14:paraId="1C982F16" w14:textId="77777777" w:rsidR="00DA3F37" w:rsidRDefault="00000000">
      <w:pPr>
        <w:pageBreakBefore/>
        <w:spacing w:after="160"/>
      </w:pPr>
      <w:r>
        <w:rPr>
          <w:noProof/>
        </w:rPr>
        <w:lastRenderedPageBreak/>
        <w:drawing>
          <wp:inline distT="0" distB="0" distL="0" distR="0" wp14:anchorId="78969333" wp14:editId="439A0450">
            <wp:extent cx="4476750" cy="571500"/>
            <wp:effectExtent l="0" t="0" r="0" b="0"/>
            <wp:docPr id="2040844851" name="logo" descr="Malla Reddy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571500"/>
                    </a:xfrm>
                    <a:prstGeom prst="rect">
                      <a:avLst/>
                    </a:prstGeom>
                  </pic:spPr>
                </pic:pic>
              </a:graphicData>
            </a:graphic>
          </wp:inline>
        </w:drawing>
      </w:r>
    </w:p>
    <w:p w14:paraId="15530F79" w14:textId="77777777" w:rsidR="00DA3F37" w:rsidRDefault="00000000">
      <w:pPr>
        <w:spacing w:after="300"/>
        <w:jc w:val="center"/>
      </w:pPr>
      <w:r>
        <w:rPr>
          <w:b/>
          <w:bCs/>
          <w:color w:val="C00000"/>
          <w:sz w:val="26"/>
          <w:szCs w:val="26"/>
        </w:rPr>
        <w:t>Department of Computer Science &amp; Engineering (Cyber Security)</w:t>
      </w:r>
    </w:p>
    <w:p w14:paraId="2E855C71" w14:textId="77777777" w:rsidR="00DA3F37" w:rsidRDefault="00000000">
      <w:pPr>
        <w:spacing w:after="280"/>
        <w:jc w:val="center"/>
      </w:pPr>
      <w:r>
        <w:rPr>
          <w:b/>
          <w:bCs/>
          <w:sz w:val="34"/>
          <w:szCs w:val="34"/>
          <w:u w:val="single"/>
        </w:rPr>
        <w:t>CERTIFICATE</w:t>
      </w:r>
    </w:p>
    <w:p w14:paraId="4D381977" w14:textId="77777777" w:rsidR="00DA3F37" w:rsidRDefault="00000000">
      <w:pPr>
        <w:spacing w:after="140" w:line="300" w:lineRule="auto"/>
        <w:jc w:val="both"/>
      </w:pPr>
      <w:r>
        <w:t>This is to certify that the project report entitled "SentinelAI: An AI-Powered Cyber Defense Platform for Honeypot-Driven Threat Detection, Correlation, Investigation and SOC Automation", submitted by G Vaishnav Kumar ([Roll Number]) and team towards the partial fulfillment for the award of Bachelor's Degree in Cyber Security from the Department of Computer Science and Engineering, Malla Reddy University, Hyderabad, is a record of bonafide work done by the students. The results embodied in the work are not submitted to any other University or Institute for the award of any degree or diploma.</w:t>
      </w:r>
    </w:p>
    <w:p w14:paraId="7C35CFD4" w14:textId="77777777" w:rsidR="00DA3F37" w:rsidRDefault="00DA3F37"/>
    <w:p w14:paraId="377303E8" w14:textId="77777777" w:rsidR="00DA3F37" w:rsidRDefault="00DA3F37"/>
    <w:p w14:paraId="5269B9EA" w14:textId="77777777" w:rsidR="00DA3F37" w:rsidRDefault="00DA3F37"/>
    <w:p w14:paraId="3D0E2FA8" w14:textId="77777777" w:rsidR="00DA3F37" w:rsidRDefault="00DA3F37"/>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A3F37" w14:paraId="34167DA0"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64471E37" w14:textId="77777777" w:rsidR="00DA3F37" w:rsidRDefault="00000000">
            <w:pPr>
              <w:spacing w:after="40"/>
            </w:pPr>
            <w:r>
              <w:rPr>
                <w:b/>
                <w:bCs/>
              </w:rPr>
              <w:t>Internal Guide</w:t>
            </w:r>
          </w:p>
        </w:tc>
        <w:tc>
          <w:tcPr>
            <w:tcW w:w="4500" w:type="dxa"/>
            <w:tcBorders>
              <w:top w:val="none" w:sz="0" w:space="0" w:color="FFFFFF"/>
              <w:left w:val="none" w:sz="0" w:space="0" w:color="FFFFFF"/>
              <w:bottom w:val="none" w:sz="0" w:space="0" w:color="FFFFFF"/>
              <w:right w:val="none" w:sz="0" w:space="0" w:color="FFFFFF"/>
            </w:tcBorders>
          </w:tcPr>
          <w:p w14:paraId="175F0A2F" w14:textId="77777777" w:rsidR="00DA3F37" w:rsidRDefault="00000000">
            <w:pPr>
              <w:spacing w:after="40"/>
            </w:pPr>
            <w:r>
              <w:rPr>
                <w:b/>
                <w:bCs/>
              </w:rPr>
              <w:t>Head of the department</w:t>
            </w:r>
          </w:p>
        </w:tc>
      </w:tr>
      <w:tr w:rsidR="00DA3F37" w14:paraId="05EBD508"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5DDE20B7" w14:textId="2ED3CF45" w:rsidR="00DA3F37" w:rsidRDefault="00C049F1">
            <w:pPr>
              <w:spacing w:after="40"/>
            </w:pPr>
            <w:r>
              <w:t>Dr. G Latha</w:t>
            </w:r>
          </w:p>
        </w:tc>
        <w:tc>
          <w:tcPr>
            <w:tcW w:w="4500" w:type="dxa"/>
            <w:tcBorders>
              <w:top w:val="none" w:sz="0" w:space="0" w:color="FFFFFF"/>
              <w:left w:val="none" w:sz="0" w:space="0" w:color="FFFFFF"/>
              <w:bottom w:val="none" w:sz="0" w:space="0" w:color="FFFFFF"/>
              <w:right w:val="none" w:sz="0" w:space="0" w:color="FFFFFF"/>
            </w:tcBorders>
          </w:tcPr>
          <w:p w14:paraId="2D99F229" w14:textId="77777777" w:rsidR="00DA3F37" w:rsidRDefault="00000000">
            <w:pPr>
              <w:spacing w:after="40"/>
            </w:pPr>
            <w:r>
              <w:t>Dr. G. Anand Kumar</w:t>
            </w:r>
          </w:p>
        </w:tc>
      </w:tr>
      <w:tr w:rsidR="00DA3F37" w14:paraId="012941F3"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435847FB" w14:textId="4159C196" w:rsidR="00DA3F37" w:rsidRDefault="00C049F1">
            <w:pPr>
              <w:spacing w:after="40"/>
            </w:pPr>
            <w:r>
              <w:t>Associate Professor</w:t>
            </w:r>
          </w:p>
        </w:tc>
        <w:tc>
          <w:tcPr>
            <w:tcW w:w="4500" w:type="dxa"/>
            <w:tcBorders>
              <w:top w:val="none" w:sz="0" w:space="0" w:color="FFFFFF"/>
              <w:left w:val="none" w:sz="0" w:space="0" w:color="FFFFFF"/>
              <w:bottom w:val="none" w:sz="0" w:space="0" w:color="FFFFFF"/>
              <w:right w:val="none" w:sz="0" w:space="0" w:color="FFFFFF"/>
            </w:tcBorders>
          </w:tcPr>
          <w:p w14:paraId="2CCE4B3E" w14:textId="77777777" w:rsidR="00DA3F37" w:rsidRDefault="00000000">
            <w:pPr>
              <w:spacing w:after="40"/>
            </w:pPr>
            <w:r>
              <w:t>CSE (Cybersecurity)</w:t>
            </w:r>
          </w:p>
        </w:tc>
      </w:tr>
    </w:tbl>
    <w:p w14:paraId="26D3B223" w14:textId="77777777" w:rsidR="00DA3F37" w:rsidRDefault="00DA3F37"/>
    <w:p w14:paraId="2265BEA9" w14:textId="77777777" w:rsidR="00DA3F37" w:rsidRDefault="00DA3F37"/>
    <w:p w14:paraId="3450257C" w14:textId="77777777" w:rsidR="00DA3F37" w:rsidRDefault="00DA3F37"/>
    <w:p w14:paraId="01BADE34" w14:textId="77777777" w:rsidR="00DA3F37" w:rsidRDefault="00000000">
      <w:pPr>
        <w:spacing w:after="100"/>
        <w:jc w:val="center"/>
      </w:pPr>
      <w:r>
        <w:rPr>
          <w:b/>
          <w:bCs/>
        </w:rPr>
        <w:t>External Examiner</w:t>
      </w:r>
    </w:p>
    <w:p w14:paraId="78EB2C0B" w14:textId="77777777" w:rsidR="00DA3F37" w:rsidRDefault="00000000">
      <w:pPr>
        <w:pageBreakBefore/>
        <w:spacing w:after="300"/>
        <w:jc w:val="center"/>
      </w:pPr>
      <w:r>
        <w:rPr>
          <w:b/>
          <w:bCs/>
          <w:sz w:val="32"/>
          <w:szCs w:val="32"/>
        </w:rPr>
        <w:lastRenderedPageBreak/>
        <w:t>DECLARATION</w:t>
      </w:r>
    </w:p>
    <w:p w14:paraId="71059E90" w14:textId="77777777" w:rsidR="00DA3F37" w:rsidRDefault="00000000">
      <w:pPr>
        <w:spacing w:after="140" w:line="300" w:lineRule="auto"/>
        <w:jc w:val="both"/>
      </w:pPr>
      <w:r>
        <w:t>We hereby declare that the project report "SentinelAI: An AI-Powered Cyber Defense Platform for Honeypot-Driven Threat Detection, Correlation, Investigation and SOC Automation" has been carried out by us and this work has been submitted to the Department of Computer Science Engineering (Cyber Security), Malla Reddy University, Hyderabad. We further declare that this project work has not been submitted in full or part for the award of any other degree in any other educational institutions.</w:t>
      </w:r>
    </w:p>
    <w:p w14:paraId="7FA0FD82" w14:textId="77777777" w:rsidR="00DA3F37" w:rsidRDefault="00DA3F37"/>
    <w:p w14:paraId="5E2A6686" w14:textId="77777777" w:rsidR="00DA3F37" w:rsidRDefault="00DA3F37"/>
    <w:p w14:paraId="1BAC1E17" w14:textId="77777777" w:rsidR="00DA3F37" w:rsidRDefault="00000000">
      <w:pPr>
        <w:spacing w:after="140" w:line="300" w:lineRule="auto"/>
      </w:pPr>
      <w:r>
        <w:t>Place:</w:t>
      </w:r>
    </w:p>
    <w:p w14:paraId="350B120D" w14:textId="77777777" w:rsidR="00DA3F37" w:rsidRDefault="00000000">
      <w:pPr>
        <w:spacing w:after="140" w:line="300" w:lineRule="auto"/>
      </w:pPr>
      <w:r>
        <w:t>Date:</w:t>
      </w:r>
    </w:p>
    <w:p w14:paraId="04C05152" w14:textId="77777777" w:rsidR="00DA3F37" w:rsidRDefault="00DA3F37"/>
    <w:p w14:paraId="60FC6D09" w14:textId="77777777" w:rsidR="00DA3F37" w:rsidRDefault="00DA3F37"/>
    <w:p w14:paraId="4EEFDF97" w14:textId="02CE68B0" w:rsidR="00DA3F37" w:rsidRDefault="00000000">
      <w:pPr>
        <w:spacing w:after="140" w:line="300" w:lineRule="auto"/>
      </w:pPr>
      <w:r>
        <w:t>G Vaishnav Kumar</w:t>
      </w:r>
      <w:r>
        <w:tab/>
      </w:r>
      <w:r w:rsidR="00C049F1">
        <w:t>2311cs040053</w:t>
      </w:r>
    </w:p>
    <w:p w14:paraId="63617E38" w14:textId="165E6734" w:rsidR="00DA3F37" w:rsidRDefault="00C049F1">
      <w:pPr>
        <w:spacing w:after="140" w:line="300" w:lineRule="auto"/>
      </w:pPr>
      <w:r>
        <w:t xml:space="preserve">G Harshal         </w:t>
      </w:r>
      <w:r w:rsidR="00000000">
        <w:tab/>
      </w:r>
      <w:r>
        <w:t>2311cs040059</w:t>
      </w:r>
    </w:p>
    <w:p w14:paraId="2E34066F" w14:textId="1AA5D889" w:rsidR="00DA3F37" w:rsidRDefault="00C049F1">
      <w:pPr>
        <w:spacing w:after="140" w:line="300" w:lineRule="auto"/>
      </w:pPr>
      <w:r>
        <w:t xml:space="preserve">Ch Deepak       </w:t>
      </w:r>
      <w:r w:rsidR="00000000">
        <w:tab/>
      </w:r>
      <w:r>
        <w:t>2311cs040033</w:t>
      </w:r>
    </w:p>
    <w:p w14:paraId="1CE78CDE" w14:textId="77777777" w:rsidR="00DA3F37" w:rsidRDefault="00000000">
      <w:pPr>
        <w:pageBreakBefore/>
        <w:spacing w:after="300"/>
        <w:jc w:val="center"/>
      </w:pPr>
      <w:r>
        <w:rPr>
          <w:b/>
          <w:bCs/>
          <w:sz w:val="32"/>
          <w:szCs w:val="32"/>
        </w:rPr>
        <w:lastRenderedPageBreak/>
        <w:t>ACKNOWLEDGEMENT</w:t>
      </w:r>
    </w:p>
    <w:p w14:paraId="7A13F17E" w14:textId="77777777" w:rsidR="00DA3F37" w:rsidRDefault="00000000">
      <w:pPr>
        <w:spacing w:after="140" w:line="300" w:lineRule="auto"/>
        <w:jc w:val="both"/>
      </w:pPr>
      <w:r>
        <w:t>We extend our sincere gratitude to all those who have contributed to the completion of this project report. Firstly, we would like to extend our gratitude to Dr. V. S. K. Reddy, Vice Chancellor, for his visionary leadership and unwavering commitment to academic excellence.</w:t>
      </w:r>
    </w:p>
    <w:p w14:paraId="6A246E99" w14:textId="77777777" w:rsidR="00DA3F37" w:rsidRDefault="00000000">
      <w:pPr>
        <w:spacing w:after="140" w:line="300" w:lineRule="auto"/>
        <w:jc w:val="both"/>
      </w:pPr>
      <w:r>
        <w:t>We would also like to express our deepest appreciation to our project guide, [Guide Name], [Designation], whose invaluable guidance, insightful feedback and unwavering support have been instrumental throughout the course of this project for successful outcomes.</w:t>
      </w:r>
    </w:p>
    <w:p w14:paraId="12B3DF4B" w14:textId="77777777" w:rsidR="00DA3F37" w:rsidRDefault="00000000">
      <w:pPr>
        <w:spacing w:after="140" w:line="300" w:lineRule="auto"/>
        <w:jc w:val="both"/>
      </w:pPr>
      <w:r>
        <w:t>We extend our gratitude to our PRC Convenor, [Name], for giving valuable inputs and timely guidelines to improve the quality of our project through a critical review process. We thank our project coordinator, [Name], for timely support.</w:t>
      </w:r>
    </w:p>
    <w:p w14:paraId="1989EF74" w14:textId="77777777" w:rsidR="00DA3F37" w:rsidRDefault="00000000">
      <w:pPr>
        <w:spacing w:after="140" w:line="300" w:lineRule="auto"/>
        <w:jc w:val="both"/>
      </w:pPr>
      <w:r>
        <w:t>We are also grateful to Dr. G. Anand Kumar, Head of the Department, Cyber Security, for providing us with the necessary resources and facilities to carry out this project.</w:t>
      </w:r>
    </w:p>
    <w:p w14:paraId="5BB3F940" w14:textId="77777777" w:rsidR="00DA3F37" w:rsidRDefault="00000000">
      <w:pPr>
        <w:spacing w:after="140" w:line="300" w:lineRule="auto"/>
        <w:jc w:val="both"/>
      </w:pPr>
      <w:r>
        <w:t>We are deeply indebted to all of them for their support, encouragement and guidance, without which this project would not have been possible.</w:t>
      </w:r>
    </w:p>
    <w:p w14:paraId="226DEA5D" w14:textId="77777777" w:rsidR="00DA3F37" w:rsidRDefault="00DA3F37"/>
    <w:p w14:paraId="6DC4AAA7" w14:textId="77777777" w:rsidR="00DA3F37" w:rsidRDefault="00DA3F37"/>
    <w:p w14:paraId="4442E363" w14:textId="77777777" w:rsidR="00C049F1" w:rsidRDefault="00C049F1" w:rsidP="00C049F1">
      <w:pPr>
        <w:spacing w:after="140" w:line="300" w:lineRule="auto"/>
      </w:pPr>
      <w:r>
        <w:t>G Vaishnav Kumar</w:t>
      </w:r>
      <w:r>
        <w:tab/>
        <w:t>2311cs040053</w:t>
      </w:r>
    </w:p>
    <w:p w14:paraId="551A37F6" w14:textId="77777777" w:rsidR="00C049F1" w:rsidRDefault="00C049F1" w:rsidP="00C049F1">
      <w:pPr>
        <w:spacing w:after="140" w:line="300" w:lineRule="auto"/>
      </w:pPr>
      <w:r>
        <w:t xml:space="preserve">G Harshal         </w:t>
      </w:r>
      <w:r>
        <w:tab/>
        <w:t>2311cs040059</w:t>
      </w:r>
    </w:p>
    <w:p w14:paraId="69E1C0E4" w14:textId="77777777" w:rsidR="00C049F1" w:rsidRDefault="00C049F1" w:rsidP="00C049F1">
      <w:pPr>
        <w:spacing w:after="140" w:line="300" w:lineRule="auto"/>
      </w:pPr>
      <w:r>
        <w:t xml:space="preserve">Ch Deepak       </w:t>
      </w:r>
      <w:r>
        <w:tab/>
        <w:t>2311cs040033</w:t>
      </w:r>
    </w:p>
    <w:p>
      <w:pPr>
        <w:jc w:val="center"/>
        <w:pageBreakBefore/>
        <w:spacing w:after="300"/>
      </w:pPr>
      <w:r>
        <w:rPr>
          <w:rFonts w:ascii="Times New Roman" w:hAnsi="Times New Roman" w:cs="Times New Roman"/>
          <w:b/>
          <w:i w:val="0"/>
          <w:sz w:val="32"/>
        </w:rPr>
        <w:t>ABSTRACT</w:t>
      </w:r>
    </w:p>
    <w:p>
      <w:pPr>
        <w:jc w:val="both"/>
        <w:spacing w:before="0" w:after="140" w:line="300" w:lineRule="auto"/>
      </w:pPr>
      <w:r>
        <w:rPr>
          <w:rFonts w:ascii="Times New Roman" w:hAnsi="Times New Roman" w:cs="Times New Roman"/>
          <w:b w:val="0"/>
          <w:i w:val="0"/>
          <w:sz w:val="24"/>
        </w:rPr>
        <w:t>Modern enterprise security operations face an increasing barrage of social engineering and spearphishing campaigns that exploit human cognitive vulnerabilities rather than traditional software defects. Attackers craft persuasive pretexts that leverage authority, artificial urgency, scarcity, and organizational trust to manipulate employees into divulging sensitive corporate credentials, approving fraudulent wire transfers, or executing malicious scripts. Conventional Security Awareness Training (SAT) platforms rely almost exclusively on static email templates and passive click-tracking metrics. These systems record whether a link was opened, but provide zero diagnostic insight into how personnel evaluate deceptive messages, what cognitive heuristics led to compromise, or how decision-making varies across organizational roles under operational stress.</w:t>
      </w:r>
    </w:p>
    <w:p>
      <w:pPr>
        <w:jc w:val="both"/>
        <w:spacing w:before="0" w:after="140" w:line="300" w:lineRule="auto"/>
      </w:pPr>
      <w:r>
        <w:rPr>
          <w:rFonts w:ascii="Times New Roman" w:hAnsi="Times New Roman" w:cs="Times New Roman"/>
          <w:b w:val="0"/>
          <w:i w:val="0"/>
          <w:sz w:val="24"/>
        </w:rPr>
        <w:t>To overcome these fundamental limitations, this project presents SemanticShield AI, an intelligent agentic cyber defense platform engineered for automated phishing simulation and behavioral threat analysis. The platform establishes a bidirectional, dual-perspective operational architecture that connects offensive security simulation with defensive Security Operations Center (SOC) incident triage. On the offensive side, the system implements an AI Simulation Sandbox where an autonomous large language model plays the role of an employee subjected to targeted phishing scenarios. Four distinct behavioral profiles—Trusting HR Manager, Security-Conscious Senior Developer, Overwhelmed Finance Manager, and Executive Vice President—are instantiated via psychological prompt engineering. The agent evaluates inbound emails, reasons step-by-step through a streamed inference channel, and terminates with an explicit, machine-extractable decision tag ([VULNERABLE] or [SAFE]).</w:t>
      </w:r>
    </w:p>
    <w:p>
      <w:pPr>
        <w:jc w:val="both"/>
        <w:spacing w:before="0" w:after="140" w:line="300" w:lineRule="auto"/>
      </w:pPr>
      <w:r>
        <w:rPr>
          <w:rFonts w:ascii="Times New Roman" w:hAnsi="Times New Roman" w:cs="Times New Roman"/>
          <w:b w:val="0"/>
          <w:i w:val="0"/>
          <w:sz w:val="24"/>
        </w:rPr>
        <w:t>On the defensive side, SemanticShield AI implements an automated threat analysis pipeline. Inbound simulation artifacts and suspicious external telemetry are ingested, subjected to Shannon entropy calculation, homoglyph detection, typosquatting evaluation, and header anomaly inspection, and then evaluated by a concurrent multi-agent supervisor. A deterministic RiskEngine calculates a composite enterprise threat score using a weighted formulation: 40% Semantic Analysis, 25% Behavioral Analysis, and 35% URL Intelligence, fortified by security floor overrides. Critical outcomes are automatically correlated into managed SOC incidents tagged with formal MITRE ATT&amp;CK techniques (T1566, T1566.002, T1566.003, T1204.002, T1556, T1539) and broadcast across five real-time WebSocket telemetry channels.</w:t>
      </w:r>
    </w:p>
    <w:p>
      <w:pPr>
        <w:jc w:val="both"/>
        <w:spacing w:before="0" w:after="140" w:line="300" w:lineRule="auto"/>
      </w:pPr>
      <w:r>
        <w:rPr>
          <w:rFonts w:ascii="Times New Roman" w:hAnsi="Times New Roman" w:cs="Times New Roman"/>
          <w:b w:val="0"/>
          <w:i w:val="0"/>
          <w:sz w:val="24"/>
        </w:rPr>
        <w:t>The platform is verified through an experimental evaluation of 84 live simulation runs across seven attack scenarios and three repetitions. Results confirm distinct behavioral profiling: the Trusting HR profile exhibited a 100.0% susceptibility rate (mean risk score 84.0), the Overwhelmed Finance profile reached 94.4% (mean risk 71.4), the Executive VP reached 55.6% (mean risk 52.6), while the Security-Conscious Developer achieved 0.0% susceptibility (100.0% safe decisions, mean risk 18.0). Mean end-to-end execution latency was measured at 12.56s, 11.10s, 12.73s, and 13.86s across profiles. Backend integration test suites passed 100% across all 24 API routes, and the React frontend Vite production build succeeded across 2,236 modules. SemanticShield AI demonstrates an explainable, deterministic foundation for realistic security awareness training and proactive SOC automation.</w:t>
      </w:r>
    </w:p>
    <w:p>
      <w:pPr>
        <w:jc w:val="both"/>
        <w:spacing w:before="100" w:after="200" w:line="300" w:lineRule="auto"/>
      </w:pPr>
      <w:r>
        <w:rPr>
          <w:rFonts w:ascii="Times New Roman" w:hAnsi="Times New Roman" w:cs="Times New Roman"/>
          <w:b/>
          <w:i/>
          <w:sz w:val="24"/>
        </w:rPr>
        <w:t xml:space="preserve">Keywords— </w:t>
      </w:r>
      <w:r>
        <w:rPr>
          <w:rFonts w:ascii="Times New Roman" w:hAnsi="Times New Roman" w:cs="Times New Roman"/>
          <w:b w:val="0"/>
          <w:i w:val="0"/>
          <w:sz w:val="23"/>
        </w:rPr>
        <w:t>Phishing Simulation, Behavioral Threat Analysis, Agentic Artificial Intelligence, Large Language Models, Multi-Agent Risk Scoring, MITRE ATT&amp;CK, Security Operations Center (SOC).</w:t>
      </w:r>
    </w:p>
    <w:p>
      <w:pPr>
        <w:jc w:val="center"/>
        <w:pageBreakBefore/>
        <w:spacing w:after="240"/>
      </w:pPr>
      <w:r>
        <w:rPr>
          <w:rFonts w:ascii="Times New Roman" w:hAnsi="Times New Roman" w:cs="Times New Roman"/>
          <w:b/>
          <w:i w:val="0"/>
          <w:sz w:val="32"/>
        </w:rPr>
        <w:t>INDEX</w:t>
      </w:r>
    </w:p>
    <w:p>
      <w:pPr>
        <w:spacing w:after="140"/>
        <w:tabs>
          <w:tab w:val="right" w:pos="9026"/>
        </w:tabs>
      </w:pPr>
      <w:r>
        <w:rPr>
          <w:rFonts w:ascii="Times New Roman" w:hAnsi="Times New Roman" w:cs="Times New Roman"/>
          <w:b/>
          <w:i w:val="0"/>
          <w:sz w:val="23"/>
        </w:rPr>
        <w:t>CONTENTS</w:t>
      </w:r>
      <w:r>
        <w:tab/>
      </w:r>
      <w:r>
        <w:rPr>
          <w:rFonts w:ascii="Times New Roman" w:hAnsi="Times New Roman" w:cs="Times New Roman"/>
          <w:b/>
          <w:i w:val="0"/>
          <w:sz w:val="23"/>
        </w:rPr>
        <w:t>Page No.</w:t>
      </w:r>
    </w:p>
    <w:p>
      <w:pPr>
        <w:jc w:val="left"/>
        <w:spacing w:before="40" w:after="40"/>
        <w:tabs>
          <w:tab w:val="right" w:leader="dot" w:pos="9026"/>
        </w:tabs>
      </w:pPr>
      <w:r>
        <w:rPr>
          <w:rFonts w:ascii="Times New Roman" w:hAnsi="Times New Roman" w:cs="Times New Roman"/>
          <w:b/>
          <w:i w:val="0"/>
          <w:sz w:val="23"/>
        </w:rPr>
        <w:t>Chapter 1 Introduction</w:t>
      </w:r>
      <w:r>
        <w:tab/>
      </w:r>
      <w:r>
        <w:rPr>
          <w:rFonts w:ascii="Times New Roman" w:hAnsi="Times New Roman" w:cs="Times New Roman"/>
          <w:b/>
          <w:i w:val="0"/>
          <w:sz w:val="23"/>
        </w:rPr>
        <w:t>1</w:t>
      </w:r>
    </w:p>
    <w:p>
      <w:pPr>
        <w:jc w:val="left"/>
        <w:spacing w:before="20" w:after="20"/>
        <w:tabs>
          <w:tab w:val="right" w:leader="dot" w:pos="9026"/>
        </w:tabs>
      </w:pPr>
      <w:r>
        <w:rPr>
          <w:rFonts w:ascii="Times New Roman" w:hAnsi="Times New Roman" w:cs="Times New Roman"/>
          <w:b w:val="0"/>
          <w:i w:val="0"/>
          <w:sz w:val="22"/>
        </w:rPr>
        <w:t xml:space="preserve">    1.1 Problem Definition &amp; Description</w:t>
      </w:r>
      <w:r>
        <w:tab/>
      </w:r>
      <w:r>
        <w:rPr>
          <w:rFonts w:ascii="Times New Roman" w:hAnsi="Times New Roman" w:cs="Times New Roman"/>
          <w:b w:val="0"/>
          <w:i w:val="0"/>
          <w:sz w:val="22"/>
        </w:rPr>
        <w:t>2</w:t>
      </w:r>
    </w:p>
    <w:p>
      <w:pPr>
        <w:jc w:val="left"/>
        <w:spacing w:before="20" w:after="20"/>
        <w:tabs>
          <w:tab w:val="right" w:leader="dot" w:pos="9026"/>
        </w:tabs>
      </w:pPr>
      <w:r>
        <w:rPr>
          <w:rFonts w:ascii="Times New Roman" w:hAnsi="Times New Roman" w:cs="Times New Roman"/>
          <w:b w:val="0"/>
          <w:i w:val="0"/>
          <w:sz w:val="22"/>
        </w:rPr>
        <w:t xml:space="preserve">    1.2 Objectives of the Project</w:t>
      </w:r>
      <w:r>
        <w:tab/>
      </w:r>
      <w:r>
        <w:rPr>
          <w:rFonts w:ascii="Times New Roman" w:hAnsi="Times New Roman" w:cs="Times New Roman"/>
          <w:b w:val="0"/>
          <w:i w:val="0"/>
          <w:sz w:val="22"/>
        </w:rPr>
        <w:t>2</w:t>
      </w:r>
    </w:p>
    <w:p>
      <w:pPr>
        <w:jc w:val="left"/>
        <w:spacing w:before="20" w:after="20"/>
        <w:tabs>
          <w:tab w:val="right" w:leader="dot" w:pos="9026"/>
        </w:tabs>
      </w:pPr>
      <w:r>
        <w:rPr>
          <w:rFonts w:ascii="Times New Roman" w:hAnsi="Times New Roman" w:cs="Times New Roman"/>
          <w:b w:val="0"/>
          <w:i w:val="0"/>
          <w:sz w:val="22"/>
        </w:rPr>
        <w:t xml:space="preserve">    1.3 Scope of the Project</w:t>
      </w:r>
      <w:r>
        <w:tab/>
      </w:r>
      <w:r>
        <w:rPr>
          <w:rFonts w:ascii="Times New Roman" w:hAnsi="Times New Roman" w:cs="Times New Roman"/>
          <w:b w:val="0"/>
          <w:i w:val="0"/>
          <w:sz w:val="22"/>
        </w:rPr>
        <w:t>3</w:t>
      </w:r>
    </w:p>
    <w:p>
      <w:pPr>
        <w:jc w:val="left"/>
        <w:spacing w:before="40" w:after="40"/>
        <w:tabs>
          <w:tab w:val="right" w:leader="dot" w:pos="9026"/>
        </w:tabs>
      </w:pPr>
      <w:r>
        <w:rPr>
          <w:rFonts w:ascii="Times New Roman" w:hAnsi="Times New Roman" w:cs="Times New Roman"/>
          <w:b/>
          <w:i w:val="0"/>
          <w:sz w:val="23"/>
        </w:rPr>
        <w:t>Chapter 2 System Analysis</w:t>
      </w:r>
      <w:r>
        <w:tab/>
      </w:r>
      <w:r>
        <w:rPr>
          <w:rFonts w:ascii="Times New Roman" w:hAnsi="Times New Roman" w:cs="Times New Roman"/>
          <w:b/>
          <w:i w:val="0"/>
          <w:sz w:val="23"/>
        </w:rPr>
        <w:t>4</w:t>
      </w:r>
    </w:p>
    <w:p>
      <w:pPr>
        <w:jc w:val="left"/>
        <w:spacing w:before="20" w:after="20"/>
        <w:tabs>
          <w:tab w:val="right" w:leader="dot" w:pos="9026"/>
        </w:tabs>
      </w:pPr>
      <w:r>
        <w:rPr>
          <w:rFonts w:ascii="Times New Roman" w:hAnsi="Times New Roman" w:cs="Times New Roman"/>
          <w:b w:val="0"/>
          <w:i w:val="0"/>
          <w:sz w:val="22"/>
        </w:rPr>
        <w:t xml:space="preserve">    2.1 Existing System</w:t>
      </w:r>
      <w:r>
        <w:tab/>
      </w:r>
      <w:r>
        <w:rPr>
          <w:rFonts w:ascii="Times New Roman" w:hAnsi="Times New Roman" w:cs="Times New Roman"/>
          <w:b w:val="0"/>
          <w:i w:val="0"/>
          <w:sz w:val="22"/>
        </w:rPr>
        <w:t>4</w:t>
      </w:r>
    </w:p>
    <w:p>
      <w:pPr>
        <w:jc w:val="left"/>
        <w:spacing w:before="20" w:after="20"/>
        <w:tabs>
          <w:tab w:val="right" w:leader="dot" w:pos="9026"/>
        </w:tabs>
      </w:pPr>
      <w:r>
        <w:rPr>
          <w:rFonts w:ascii="Times New Roman" w:hAnsi="Times New Roman" w:cs="Times New Roman"/>
          <w:b w:val="0"/>
          <w:i w:val="0"/>
          <w:sz w:val="22"/>
        </w:rPr>
        <w:t xml:space="preserve">        2.1.1 Background &amp; Literature Survey</w:t>
      </w:r>
      <w:r>
        <w:tab/>
      </w:r>
      <w:r>
        <w:rPr>
          <w:rFonts w:ascii="Times New Roman" w:hAnsi="Times New Roman" w:cs="Times New Roman"/>
          <w:b w:val="0"/>
          <w:i w:val="0"/>
          <w:sz w:val="22"/>
        </w:rPr>
        <w:t>4</w:t>
      </w:r>
    </w:p>
    <w:p>
      <w:pPr>
        <w:jc w:val="left"/>
        <w:spacing w:before="20" w:after="20"/>
        <w:tabs>
          <w:tab w:val="right" w:leader="dot" w:pos="9026"/>
        </w:tabs>
      </w:pPr>
      <w:r>
        <w:rPr>
          <w:rFonts w:ascii="Times New Roman" w:hAnsi="Times New Roman" w:cs="Times New Roman"/>
          <w:b w:val="0"/>
          <w:i w:val="0"/>
          <w:sz w:val="22"/>
        </w:rPr>
        <w:t xml:space="preserve">        2.1.2 Limitations of Existing System</w:t>
      </w:r>
      <w:r>
        <w:tab/>
      </w:r>
      <w:r>
        <w:rPr>
          <w:rFonts w:ascii="Times New Roman" w:hAnsi="Times New Roman" w:cs="Times New Roman"/>
          <w:b w:val="0"/>
          <w:i w:val="0"/>
          <w:sz w:val="22"/>
        </w:rPr>
        <w:t>5</w:t>
      </w:r>
    </w:p>
    <w:p>
      <w:pPr>
        <w:jc w:val="left"/>
        <w:spacing w:before="20" w:after="20"/>
        <w:tabs>
          <w:tab w:val="right" w:leader="dot" w:pos="9026"/>
        </w:tabs>
      </w:pPr>
      <w:r>
        <w:rPr>
          <w:rFonts w:ascii="Times New Roman" w:hAnsi="Times New Roman" w:cs="Times New Roman"/>
          <w:b w:val="0"/>
          <w:i w:val="0"/>
          <w:sz w:val="22"/>
        </w:rPr>
        <w:t xml:space="preserve">    2.2 Proposed System</w:t>
      </w:r>
      <w:r>
        <w:tab/>
      </w:r>
      <w:r>
        <w:rPr>
          <w:rFonts w:ascii="Times New Roman" w:hAnsi="Times New Roman" w:cs="Times New Roman"/>
          <w:b w:val="0"/>
          <w:i w:val="0"/>
          <w:sz w:val="22"/>
        </w:rPr>
        <w:t>5</w:t>
      </w:r>
    </w:p>
    <w:p>
      <w:pPr>
        <w:jc w:val="left"/>
        <w:spacing w:before="20" w:after="20"/>
        <w:tabs>
          <w:tab w:val="right" w:leader="dot" w:pos="9026"/>
        </w:tabs>
      </w:pPr>
      <w:r>
        <w:rPr>
          <w:rFonts w:ascii="Times New Roman" w:hAnsi="Times New Roman" w:cs="Times New Roman"/>
          <w:b w:val="0"/>
          <w:i w:val="0"/>
          <w:sz w:val="22"/>
        </w:rPr>
        <w:t xml:space="preserve">        2.2.1 Advantages of Proposed System</w:t>
      </w:r>
      <w:r>
        <w:tab/>
      </w:r>
      <w:r>
        <w:rPr>
          <w:rFonts w:ascii="Times New Roman" w:hAnsi="Times New Roman" w:cs="Times New Roman"/>
          <w:b w:val="0"/>
          <w:i w:val="0"/>
          <w:sz w:val="22"/>
        </w:rPr>
        <w:t>6</w:t>
      </w:r>
    </w:p>
    <w:p>
      <w:pPr>
        <w:jc w:val="left"/>
        <w:spacing w:before="20" w:after="20"/>
        <w:tabs>
          <w:tab w:val="right" w:leader="dot" w:pos="9026"/>
        </w:tabs>
      </w:pPr>
      <w:r>
        <w:rPr>
          <w:rFonts w:ascii="Times New Roman" w:hAnsi="Times New Roman" w:cs="Times New Roman"/>
          <w:b w:val="0"/>
          <w:i w:val="0"/>
          <w:sz w:val="22"/>
        </w:rPr>
        <w:t xml:space="preserve">    2.3 Software &amp; Hardware Requirements</w:t>
      </w:r>
      <w:r>
        <w:tab/>
      </w:r>
      <w:r>
        <w:rPr>
          <w:rFonts w:ascii="Times New Roman" w:hAnsi="Times New Roman" w:cs="Times New Roman"/>
          <w:b w:val="0"/>
          <w:i w:val="0"/>
          <w:sz w:val="22"/>
        </w:rPr>
        <w:t>6</w:t>
      </w:r>
    </w:p>
    <w:p>
      <w:pPr>
        <w:jc w:val="left"/>
        <w:spacing w:before="20" w:after="20"/>
        <w:tabs>
          <w:tab w:val="right" w:leader="dot" w:pos="9026"/>
        </w:tabs>
      </w:pPr>
      <w:r>
        <w:rPr>
          <w:rFonts w:ascii="Times New Roman" w:hAnsi="Times New Roman" w:cs="Times New Roman"/>
          <w:b w:val="0"/>
          <w:i w:val="0"/>
          <w:sz w:val="22"/>
        </w:rPr>
        <w:t xml:space="preserve">        2.3.1 Software Requirements</w:t>
      </w:r>
      <w:r>
        <w:tab/>
      </w:r>
      <w:r>
        <w:rPr>
          <w:rFonts w:ascii="Times New Roman" w:hAnsi="Times New Roman" w:cs="Times New Roman"/>
          <w:b w:val="0"/>
          <w:i w:val="0"/>
          <w:sz w:val="22"/>
        </w:rPr>
        <w:t>6</w:t>
      </w:r>
    </w:p>
    <w:p>
      <w:pPr>
        <w:jc w:val="left"/>
        <w:spacing w:before="20" w:after="20"/>
        <w:tabs>
          <w:tab w:val="right" w:leader="dot" w:pos="9026"/>
        </w:tabs>
      </w:pPr>
      <w:r>
        <w:rPr>
          <w:rFonts w:ascii="Times New Roman" w:hAnsi="Times New Roman" w:cs="Times New Roman"/>
          <w:b w:val="0"/>
          <w:i w:val="0"/>
          <w:sz w:val="22"/>
        </w:rPr>
        <w:t xml:space="preserve">        2.3.2 Hardware Requirements</w:t>
      </w:r>
      <w:r>
        <w:tab/>
      </w:r>
      <w:r>
        <w:rPr>
          <w:rFonts w:ascii="Times New Roman" w:hAnsi="Times New Roman" w:cs="Times New Roman"/>
          <w:b w:val="0"/>
          <w:i w:val="0"/>
          <w:sz w:val="22"/>
        </w:rPr>
        <w:t>7</w:t>
      </w:r>
    </w:p>
    <w:p>
      <w:pPr>
        <w:jc w:val="left"/>
        <w:spacing w:before="20" w:after="20"/>
        <w:tabs>
          <w:tab w:val="right" w:leader="dot" w:pos="9026"/>
        </w:tabs>
      </w:pPr>
      <w:r>
        <w:rPr>
          <w:rFonts w:ascii="Times New Roman" w:hAnsi="Times New Roman" w:cs="Times New Roman"/>
          <w:b w:val="0"/>
          <w:i w:val="0"/>
          <w:sz w:val="22"/>
        </w:rPr>
        <w:t xml:space="preserve">    2.4 Feasibility Study</w:t>
      </w:r>
      <w:r>
        <w:tab/>
      </w:r>
      <w:r>
        <w:rPr>
          <w:rFonts w:ascii="Times New Roman" w:hAnsi="Times New Roman" w:cs="Times New Roman"/>
          <w:b w:val="0"/>
          <w:i w:val="0"/>
          <w:sz w:val="22"/>
        </w:rPr>
        <w:t>7</w:t>
      </w:r>
    </w:p>
    <w:p>
      <w:pPr>
        <w:jc w:val="left"/>
        <w:spacing w:before="40" w:after="40"/>
        <w:tabs>
          <w:tab w:val="right" w:leader="dot" w:pos="9026"/>
        </w:tabs>
      </w:pPr>
      <w:r>
        <w:rPr>
          <w:rFonts w:ascii="Times New Roman" w:hAnsi="Times New Roman" w:cs="Times New Roman"/>
          <w:b/>
          <w:i w:val="0"/>
          <w:sz w:val="23"/>
        </w:rPr>
        <w:t>Chapter 3 Architectural Design</w:t>
      </w:r>
      <w:r>
        <w:tab/>
      </w:r>
      <w:r>
        <w:rPr>
          <w:rFonts w:ascii="Times New Roman" w:hAnsi="Times New Roman" w:cs="Times New Roman"/>
          <w:b/>
          <w:i w:val="0"/>
          <w:sz w:val="23"/>
        </w:rPr>
        <w:t>9</w:t>
      </w:r>
    </w:p>
    <w:p>
      <w:pPr>
        <w:jc w:val="left"/>
        <w:spacing w:before="20" w:after="20"/>
        <w:tabs>
          <w:tab w:val="right" w:leader="dot" w:pos="9026"/>
        </w:tabs>
      </w:pPr>
      <w:r>
        <w:rPr>
          <w:rFonts w:ascii="Times New Roman" w:hAnsi="Times New Roman" w:cs="Times New Roman"/>
          <w:b w:val="0"/>
          <w:i w:val="0"/>
          <w:sz w:val="22"/>
        </w:rPr>
        <w:t xml:space="preserve">    3.1 Modules Design</w:t>
      </w:r>
      <w:r>
        <w:tab/>
      </w:r>
      <w:r>
        <w:rPr>
          <w:rFonts w:ascii="Times New Roman" w:hAnsi="Times New Roman" w:cs="Times New Roman"/>
          <w:b w:val="0"/>
          <w:i w:val="0"/>
          <w:sz w:val="22"/>
        </w:rPr>
        <w:t>9</w:t>
      </w:r>
    </w:p>
    <w:p>
      <w:pPr>
        <w:jc w:val="left"/>
        <w:spacing w:before="20" w:after="20"/>
        <w:tabs>
          <w:tab w:val="right" w:leader="dot" w:pos="9026"/>
        </w:tabs>
      </w:pPr>
      <w:r>
        <w:rPr>
          <w:rFonts w:ascii="Times New Roman" w:hAnsi="Times New Roman" w:cs="Times New Roman"/>
          <w:b w:val="0"/>
          <w:i w:val="0"/>
          <w:sz w:val="22"/>
        </w:rPr>
        <w:t xml:space="preserve">    3.2 Method and Algorithm Design</w:t>
      </w:r>
      <w:r>
        <w:tab/>
      </w:r>
      <w:r>
        <w:rPr>
          <w:rFonts w:ascii="Times New Roman" w:hAnsi="Times New Roman" w:cs="Times New Roman"/>
          <w:b w:val="0"/>
          <w:i w:val="0"/>
          <w:sz w:val="22"/>
        </w:rPr>
        <w:t>11</w:t>
      </w:r>
    </w:p>
    <w:p>
      <w:pPr>
        <w:jc w:val="left"/>
        <w:spacing w:before="20" w:after="20"/>
        <w:tabs>
          <w:tab w:val="right" w:leader="dot" w:pos="9026"/>
        </w:tabs>
      </w:pPr>
      <w:r>
        <w:rPr>
          <w:rFonts w:ascii="Times New Roman" w:hAnsi="Times New Roman" w:cs="Times New Roman"/>
          <w:b w:val="0"/>
          <w:i w:val="0"/>
          <w:sz w:val="22"/>
        </w:rPr>
        <w:t xml:space="preserve">        3.2.1 Behavioral Persona Prompting</w:t>
      </w:r>
      <w:r>
        <w:tab/>
      </w:r>
      <w:r>
        <w:rPr>
          <w:rFonts w:ascii="Times New Roman" w:hAnsi="Times New Roman" w:cs="Times New Roman"/>
          <w:b w:val="0"/>
          <w:i w:val="0"/>
          <w:sz w:val="22"/>
        </w:rPr>
        <w:t>11</w:t>
      </w:r>
    </w:p>
    <w:p>
      <w:pPr>
        <w:jc w:val="left"/>
        <w:spacing w:before="20" w:after="20"/>
        <w:tabs>
          <w:tab w:val="right" w:leader="dot" w:pos="9026"/>
        </w:tabs>
      </w:pPr>
      <w:r>
        <w:rPr>
          <w:rFonts w:ascii="Times New Roman" w:hAnsi="Times New Roman" w:cs="Times New Roman"/>
          <w:b w:val="0"/>
          <w:i w:val="0"/>
          <w:sz w:val="22"/>
        </w:rPr>
        <w:t xml:space="preserve">        3.2.2 Streaming Reasoning and Decision Extraction</w:t>
      </w:r>
      <w:r>
        <w:tab/>
      </w:r>
      <w:r>
        <w:rPr>
          <w:rFonts w:ascii="Times New Roman" w:hAnsi="Times New Roman" w:cs="Times New Roman"/>
          <w:b w:val="0"/>
          <w:i w:val="0"/>
          <w:sz w:val="22"/>
        </w:rPr>
        <w:t>11</w:t>
      </w:r>
    </w:p>
    <w:p>
      <w:pPr>
        <w:jc w:val="left"/>
        <w:spacing w:before="20" w:after="20"/>
        <w:tabs>
          <w:tab w:val="right" w:leader="dot" w:pos="9026"/>
        </w:tabs>
      </w:pPr>
      <w:r>
        <w:rPr>
          <w:rFonts w:ascii="Times New Roman" w:hAnsi="Times New Roman" w:cs="Times New Roman"/>
          <w:b w:val="0"/>
          <w:i w:val="0"/>
          <w:sz w:val="22"/>
        </w:rPr>
        <w:t xml:space="preserve">        3.2.3 Multi-Agent Threat Scoring &amp; RiskEngine Evaluation</w:t>
      </w:r>
      <w:r>
        <w:tab/>
      </w:r>
      <w:r>
        <w:rPr>
          <w:rFonts w:ascii="Times New Roman" w:hAnsi="Times New Roman" w:cs="Times New Roman"/>
          <w:b w:val="0"/>
          <w:i w:val="0"/>
          <w:sz w:val="22"/>
        </w:rPr>
        <w:t>12</w:t>
      </w:r>
    </w:p>
    <w:p>
      <w:pPr>
        <w:jc w:val="left"/>
        <w:spacing w:before="20" w:after="20"/>
        <w:tabs>
          <w:tab w:val="right" w:leader="dot" w:pos="9026"/>
        </w:tabs>
      </w:pPr>
      <w:r>
        <w:rPr>
          <w:rFonts w:ascii="Times New Roman" w:hAnsi="Times New Roman" w:cs="Times New Roman"/>
          <w:b w:val="0"/>
          <w:i w:val="0"/>
          <w:sz w:val="22"/>
        </w:rPr>
        <w:t xml:space="preserve">        3.2.4 Severity Classification &amp; Thresholds</w:t>
      </w:r>
      <w:r>
        <w:tab/>
      </w:r>
      <w:r>
        <w:rPr>
          <w:rFonts w:ascii="Times New Roman" w:hAnsi="Times New Roman" w:cs="Times New Roman"/>
          <w:b w:val="0"/>
          <w:i w:val="0"/>
          <w:sz w:val="22"/>
        </w:rPr>
        <w:t>12</w:t>
      </w:r>
    </w:p>
    <w:p>
      <w:pPr>
        <w:jc w:val="left"/>
        <w:spacing w:before="20" w:after="20"/>
        <w:tabs>
          <w:tab w:val="right" w:leader="dot" w:pos="9026"/>
        </w:tabs>
      </w:pPr>
      <w:r>
        <w:rPr>
          <w:rFonts w:ascii="Times New Roman" w:hAnsi="Times New Roman" w:cs="Times New Roman"/>
          <w:b w:val="0"/>
          <w:i w:val="0"/>
          <w:sz w:val="22"/>
        </w:rPr>
        <w:t xml:space="preserve">        3.2.5 Incident Management &amp; MITRE ATT&amp;CK Mapping</w:t>
      </w:r>
      <w:r>
        <w:tab/>
      </w:r>
      <w:r>
        <w:rPr>
          <w:rFonts w:ascii="Times New Roman" w:hAnsi="Times New Roman" w:cs="Times New Roman"/>
          <w:b w:val="0"/>
          <w:i w:val="0"/>
          <w:sz w:val="22"/>
        </w:rPr>
        <w:t>12</w:t>
      </w:r>
    </w:p>
    <w:p>
      <w:pPr>
        <w:jc w:val="left"/>
        <w:spacing w:before="20" w:after="20"/>
        <w:tabs>
          <w:tab w:val="right" w:leader="dot" w:pos="9026"/>
        </w:tabs>
      </w:pPr>
      <w:r>
        <w:rPr>
          <w:rFonts w:ascii="Times New Roman" w:hAnsi="Times New Roman" w:cs="Times New Roman"/>
          <w:b w:val="0"/>
          <w:i w:val="0"/>
          <w:sz w:val="22"/>
        </w:rPr>
        <w:t xml:space="preserve">    3.3 Project Architecture</w:t>
      </w:r>
      <w:r>
        <w:tab/>
      </w:r>
      <w:r>
        <w:rPr>
          <w:rFonts w:ascii="Times New Roman" w:hAnsi="Times New Roman" w:cs="Times New Roman"/>
          <w:b w:val="0"/>
          <w:i w:val="0"/>
          <w:sz w:val="22"/>
        </w:rPr>
        <w:t>13</w:t>
      </w:r>
    </w:p>
    <w:p>
      <w:pPr>
        <w:jc w:val="left"/>
        <w:spacing w:before="20" w:after="20"/>
        <w:tabs>
          <w:tab w:val="right" w:leader="dot" w:pos="9026"/>
        </w:tabs>
      </w:pPr>
      <w:r>
        <w:rPr>
          <w:rFonts w:ascii="Times New Roman" w:hAnsi="Times New Roman" w:cs="Times New Roman"/>
          <w:b w:val="0"/>
          <w:i w:val="0"/>
          <w:sz w:val="22"/>
        </w:rPr>
        <w:t xml:space="preserve">        3.3.1 Architectural Diagram</w:t>
      </w:r>
      <w:r>
        <w:tab/>
      </w:r>
      <w:r>
        <w:rPr>
          <w:rFonts w:ascii="Times New Roman" w:hAnsi="Times New Roman" w:cs="Times New Roman"/>
          <w:b w:val="0"/>
          <w:i w:val="0"/>
          <w:sz w:val="22"/>
        </w:rPr>
        <w:t>14</w:t>
      </w:r>
    </w:p>
    <w:p>
      <w:pPr>
        <w:jc w:val="left"/>
        <w:spacing w:before="20" w:after="20"/>
        <w:tabs>
          <w:tab w:val="right" w:leader="dot" w:pos="9026"/>
        </w:tabs>
      </w:pPr>
      <w:r>
        <w:rPr>
          <w:rFonts w:ascii="Times New Roman" w:hAnsi="Times New Roman" w:cs="Times New Roman"/>
          <w:b w:val="0"/>
          <w:i w:val="0"/>
          <w:sz w:val="22"/>
        </w:rPr>
        <w:t xml:space="preserve">        3.3.2 Data Flow Diagram</w:t>
      </w:r>
      <w:r>
        <w:tab/>
      </w:r>
      <w:r>
        <w:rPr>
          <w:rFonts w:ascii="Times New Roman" w:hAnsi="Times New Roman" w:cs="Times New Roman"/>
          <w:b w:val="0"/>
          <w:i w:val="0"/>
          <w:sz w:val="22"/>
        </w:rPr>
        <w:t>14</w:t>
      </w:r>
    </w:p>
    <w:p>
      <w:pPr>
        <w:jc w:val="left"/>
        <w:spacing w:before="20" w:after="20"/>
        <w:tabs>
          <w:tab w:val="right" w:leader="dot" w:pos="9026"/>
        </w:tabs>
      </w:pPr>
      <w:r>
        <w:rPr>
          <w:rFonts w:ascii="Times New Roman" w:hAnsi="Times New Roman" w:cs="Times New Roman"/>
          <w:b w:val="0"/>
          <w:i w:val="0"/>
          <w:sz w:val="22"/>
        </w:rPr>
        <w:t xml:space="preserve">        3.3.3 Sequence Diagram</w:t>
      </w:r>
      <w:r>
        <w:tab/>
      </w:r>
      <w:r>
        <w:rPr>
          <w:rFonts w:ascii="Times New Roman" w:hAnsi="Times New Roman" w:cs="Times New Roman"/>
          <w:b w:val="0"/>
          <w:i w:val="0"/>
          <w:sz w:val="22"/>
        </w:rPr>
        <w:t>15</w:t>
      </w:r>
    </w:p>
    <w:p>
      <w:pPr>
        <w:jc w:val="left"/>
        <w:spacing w:before="20" w:after="20"/>
        <w:tabs>
          <w:tab w:val="right" w:leader="dot" w:pos="9026"/>
        </w:tabs>
      </w:pPr>
      <w:r>
        <w:rPr>
          <w:rFonts w:ascii="Times New Roman" w:hAnsi="Times New Roman" w:cs="Times New Roman"/>
          <w:b w:val="0"/>
          <w:i w:val="0"/>
          <w:sz w:val="22"/>
        </w:rPr>
        <w:t xml:space="preserve">        3.3.4 Phishing Simulation &amp; Threat Analysis Lifecycle</w:t>
      </w:r>
      <w:r>
        <w:tab/>
      </w:r>
      <w:r>
        <w:rPr>
          <w:rFonts w:ascii="Times New Roman" w:hAnsi="Times New Roman" w:cs="Times New Roman"/>
          <w:b w:val="0"/>
          <w:i w:val="0"/>
          <w:sz w:val="22"/>
        </w:rPr>
        <w:t>16</w:t>
      </w:r>
    </w:p>
    <w:p>
      <w:pPr>
        <w:jc w:val="left"/>
        <w:spacing w:before="20" w:after="20"/>
        <w:tabs>
          <w:tab w:val="right" w:leader="dot" w:pos="9026"/>
        </w:tabs>
      </w:pPr>
      <w:r>
        <w:rPr>
          <w:rFonts w:ascii="Times New Roman" w:hAnsi="Times New Roman" w:cs="Times New Roman"/>
          <w:b w:val="0"/>
          <w:i w:val="0"/>
          <w:sz w:val="22"/>
        </w:rPr>
        <w:t xml:space="preserve">        3.3.5 Deployment Architecture</w:t>
      </w:r>
      <w:r>
        <w:tab/>
      </w:r>
      <w:r>
        <w:rPr>
          <w:rFonts w:ascii="Times New Roman" w:hAnsi="Times New Roman" w:cs="Times New Roman"/>
          <w:b w:val="0"/>
          <w:i w:val="0"/>
          <w:sz w:val="22"/>
        </w:rPr>
        <w:t>16</w:t>
      </w:r>
    </w:p>
    <w:p>
      <w:pPr>
        <w:jc w:val="left"/>
        <w:spacing w:before="40" w:after="40"/>
        <w:tabs>
          <w:tab w:val="right" w:leader="dot" w:pos="9026"/>
        </w:tabs>
      </w:pPr>
      <w:r>
        <w:rPr>
          <w:rFonts w:ascii="Times New Roman" w:hAnsi="Times New Roman" w:cs="Times New Roman"/>
          <w:b/>
          <w:i w:val="0"/>
          <w:sz w:val="23"/>
        </w:rPr>
        <w:t>Chapter 4 Application Code</w:t>
      </w:r>
      <w:r>
        <w:tab/>
      </w:r>
      <w:r>
        <w:rPr>
          <w:rFonts w:ascii="Times New Roman" w:hAnsi="Times New Roman" w:cs="Times New Roman"/>
          <w:b/>
          <w:i w:val="0"/>
          <w:sz w:val="23"/>
        </w:rPr>
        <w:t>17</w:t>
      </w:r>
    </w:p>
    <w:p>
      <w:pPr>
        <w:jc w:val="left"/>
        <w:spacing w:before="20" w:after="20"/>
        <w:tabs>
          <w:tab w:val="right" w:leader="dot" w:pos="9026"/>
        </w:tabs>
      </w:pPr>
      <w:r>
        <w:rPr>
          <w:rFonts w:ascii="Times New Roman" w:hAnsi="Times New Roman" w:cs="Times New Roman"/>
          <w:b w:val="0"/>
          <w:i w:val="0"/>
          <w:sz w:val="22"/>
        </w:rPr>
        <w:t xml:space="preserve">    4.1 Coding Blocks (Frontend &amp; Backend Code)</w:t>
      </w:r>
      <w:r>
        <w:tab/>
      </w:r>
      <w:r>
        <w:rPr>
          <w:rFonts w:ascii="Times New Roman" w:hAnsi="Times New Roman" w:cs="Times New Roman"/>
          <w:b w:val="0"/>
          <w:i w:val="0"/>
          <w:sz w:val="22"/>
        </w:rPr>
        <w:t>17</w:t>
      </w:r>
    </w:p>
    <w:p>
      <w:pPr>
        <w:jc w:val="left"/>
        <w:spacing w:before="20" w:after="20"/>
        <w:tabs>
          <w:tab w:val="right" w:leader="dot" w:pos="9026"/>
        </w:tabs>
      </w:pPr>
      <w:r>
        <w:rPr>
          <w:rFonts w:ascii="Times New Roman" w:hAnsi="Times New Roman" w:cs="Times New Roman"/>
          <w:b w:val="0"/>
          <w:i w:val="0"/>
          <w:sz w:val="22"/>
        </w:rPr>
        <w:t xml:space="preserve">        4.1.1 Repository Structure</w:t>
      </w:r>
      <w:r>
        <w:tab/>
      </w:r>
      <w:r>
        <w:rPr>
          <w:rFonts w:ascii="Times New Roman" w:hAnsi="Times New Roman" w:cs="Times New Roman"/>
          <w:b w:val="0"/>
          <w:i w:val="0"/>
          <w:sz w:val="22"/>
        </w:rPr>
        <w:t>17</w:t>
      </w:r>
    </w:p>
    <w:p>
      <w:pPr>
        <w:jc w:val="left"/>
        <w:spacing w:before="20" w:after="20"/>
        <w:tabs>
          <w:tab w:val="right" w:leader="dot" w:pos="9026"/>
        </w:tabs>
      </w:pPr>
      <w:r>
        <w:rPr>
          <w:rFonts w:ascii="Times New Roman" w:hAnsi="Times New Roman" w:cs="Times New Roman"/>
          <w:b w:val="0"/>
          <w:i w:val="0"/>
          <w:sz w:val="22"/>
        </w:rPr>
        <w:t xml:space="preserve">        4.1.2 Environment Configuration</w:t>
      </w:r>
      <w:r>
        <w:tab/>
      </w:r>
      <w:r>
        <w:rPr>
          <w:rFonts w:ascii="Times New Roman" w:hAnsi="Times New Roman" w:cs="Times New Roman"/>
          <w:b w:val="0"/>
          <w:i w:val="0"/>
          <w:sz w:val="22"/>
        </w:rPr>
        <w:t>17</w:t>
      </w:r>
    </w:p>
    <w:p>
      <w:pPr>
        <w:jc w:val="left"/>
        <w:spacing w:before="20" w:after="20"/>
        <w:tabs>
          <w:tab w:val="right" w:leader="dot" w:pos="9026"/>
        </w:tabs>
      </w:pPr>
      <w:r>
        <w:rPr>
          <w:rFonts w:ascii="Times New Roman" w:hAnsi="Times New Roman" w:cs="Times New Roman"/>
          <w:b w:val="0"/>
          <w:i w:val="0"/>
          <w:sz w:val="22"/>
        </w:rPr>
        <w:t xml:space="preserve">        4.1.3 Database Configuration Logic &amp; SQLAlchemy Models</w:t>
      </w:r>
      <w:r>
        <w:tab/>
      </w:r>
      <w:r>
        <w:rPr>
          <w:rFonts w:ascii="Times New Roman" w:hAnsi="Times New Roman" w:cs="Times New Roman"/>
          <w:b w:val="0"/>
          <w:i w:val="0"/>
          <w:sz w:val="22"/>
        </w:rPr>
        <w:t>18</w:t>
      </w:r>
    </w:p>
    <w:p>
      <w:pPr>
        <w:jc w:val="left"/>
        <w:spacing w:before="20" w:after="20"/>
        <w:tabs>
          <w:tab w:val="right" w:leader="dot" w:pos="9026"/>
        </w:tabs>
      </w:pPr>
      <w:r>
        <w:rPr>
          <w:rFonts w:ascii="Times New Roman" w:hAnsi="Times New Roman" w:cs="Times New Roman"/>
          <w:b w:val="0"/>
          <w:i w:val="0"/>
          <w:sz w:val="22"/>
        </w:rPr>
        <w:t xml:space="preserve">        4.1.4 Frontend Real-Time WebSocket Client</w:t>
      </w:r>
      <w:r>
        <w:tab/>
      </w:r>
      <w:r>
        <w:rPr>
          <w:rFonts w:ascii="Times New Roman" w:hAnsi="Times New Roman" w:cs="Times New Roman"/>
          <w:b w:val="0"/>
          <w:i w:val="0"/>
          <w:sz w:val="22"/>
        </w:rPr>
        <w:t>18</w:t>
      </w:r>
    </w:p>
    <w:p>
      <w:pPr>
        <w:jc w:val="left"/>
        <w:spacing w:before="20" w:after="20"/>
        <w:tabs>
          <w:tab w:val="right" w:leader="dot" w:pos="9026"/>
        </w:tabs>
      </w:pPr>
      <w:r>
        <w:rPr>
          <w:rFonts w:ascii="Times New Roman" w:hAnsi="Times New Roman" w:cs="Times New Roman"/>
          <w:b w:val="0"/>
          <w:i w:val="0"/>
          <w:sz w:val="22"/>
        </w:rPr>
        <w:t xml:space="preserve">        4.1.5 Principal API Endpoints</w:t>
      </w:r>
      <w:r>
        <w:tab/>
      </w:r>
      <w:r>
        <w:rPr>
          <w:rFonts w:ascii="Times New Roman" w:hAnsi="Times New Roman" w:cs="Times New Roman"/>
          <w:b w:val="0"/>
          <w:i w:val="0"/>
          <w:sz w:val="22"/>
        </w:rPr>
        <w:t>19</w:t>
      </w:r>
    </w:p>
    <w:p>
      <w:pPr>
        <w:jc w:val="left"/>
        <w:spacing w:before="20" w:after="20"/>
        <w:tabs>
          <w:tab w:val="right" w:leader="dot" w:pos="9026"/>
        </w:tabs>
      </w:pPr>
      <w:r>
        <w:rPr>
          <w:rFonts w:ascii="Times New Roman" w:hAnsi="Times New Roman" w:cs="Times New Roman"/>
          <w:b w:val="0"/>
          <w:i w:val="0"/>
          <w:sz w:val="22"/>
        </w:rPr>
        <w:t xml:space="preserve">        4.1.6 Running the Application</w:t>
      </w:r>
      <w:r>
        <w:tab/>
      </w:r>
      <w:r>
        <w:rPr>
          <w:rFonts w:ascii="Times New Roman" w:hAnsi="Times New Roman" w:cs="Times New Roman"/>
          <w:b w:val="0"/>
          <w:i w:val="0"/>
          <w:sz w:val="22"/>
        </w:rPr>
        <w:t>20</w:t>
      </w:r>
    </w:p>
    <w:p>
      <w:pPr>
        <w:jc w:val="left"/>
        <w:spacing w:before="20" w:after="20"/>
        <w:tabs>
          <w:tab w:val="right" w:leader="dot" w:pos="9026"/>
        </w:tabs>
      </w:pPr>
      <w:r>
        <w:rPr>
          <w:rFonts w:ascii="Times New Roman" w:hAnsi="Times New Roman" w:cs="Times New Roman"/>
          <w:b w:val="0"/>
          <w:i w:val="0"/>
          <w:sz w:val="22"/>
        </w:rPr>
        <w:t xml:space="preserve">        4.1.7 Deployment Architecture &amp; Container Stack</w:t>
      </w:r>
      <w:r>
        <w:tab/>
      </w:r>
      <w:r>
        <w:rPr>
          <w:rFonts w:ascii="Times New Roman" w:hAnsi="Times New Roman" w:cs="Times New Roman"/>
          <w:b w:val="0"/>
          <w:i w:val="0"/>
          <w:sz w:val="22"/>
        </w:rPr>
        <w:t>20</w:t>
      </w:r>
    </w:p>
    <w:p>
      <w:pPr>
        <w:jc w:val="left"/>
        <w:spacing w:before="20" w:after="20"/>
        <w:tabs>
          <w:tab w:val="right" w:leader="dot" w:pos="9026"/>
        </w:tabs>
      </w:pPr>
      <w:r>
        <w:rPr>
          <w:rFonts w:ascii="Times New Roman" w:hAnsi="Times New Roman" w:cs="Times New Roman"/>
          <w:b w:val="0"/>
          <w:i w:val="0"/>
          <w:sz w:val="22"/>
        </w:rPr>
        <w:t xml:space="preserve">    4.2 Execution Flow</w:t>
      </w:r>
      <w:r>
        <w:tab/>
      </w:r>
      <w:r>
        <w:rPr>
          <w:rFonts w:ascii="Times New Roman" w:hAnsi="Times New Roman" w:cs="Times New Roman"/>
          <w:b w:val="0"/>
          <w:i w:val="0"/>
          <w:sz w:val="22"/>
        </w:rPr>
        <w:t>20</w:t>
      </w:r>
    </w:p>
    <w:p>
      <w:pPr>
        <w:jc w:val="left"/>
        <w:spacing w:before="40" w:after="40"/>
        <w:tabs>
          <w:tab w:val="right" w:leader="dot" w:pos="9026"/>
        </w:tabs>
      </w:pPr>
      <w:r>
        <w:rPr>
          <w:rFonts w:ascii="Times New Roman" w:hAnsi="Times New Roman" w:cs="Times New Roman"/>
          <w:b/>
          <w:i w:val="0"/>
          <w:sz w:val="23"/>
        </w:rPr>
        <w:t>Chapter 5 Testing and Results</w:t>
      </w:r>
      <w:r>
        <w:tab/>
      </w:r>
      <w:r>
        <w:rPr>
          <w:rFonts w:ascii="Times New Roman" w:hAnsi="Times New Roman" w:cs="Times New Roman"/>
          <w:b/>
          <w:i w:val="0"/>
          <w:sz w:val="23"/>
        </w:rPr>
        <w:t>22</w:t>
      </w:r>
    </w:p>
    <w:p>
      <w:pPr>
        <w:jc w:val="left"/>
        <w:spacing w:before="20" w:after="20"/>
        <w:tabs>
          <w:tab w:val="right" w:leader="dot" w:pos="9026"/>
        </w:tabs>
      </w:pPr>
      <w:r>
        <w:rPr>
          <w:rFonts w:ascii="Times New Roman" w:hAnsi="Times New Roman" w:cs="Times New Roman"/>
          <w:b w:val="0"/>
          <w:i w:val="0"/>
          <w:sz w:val="22"/>
        </w:rPr>
        <w:t xml:space="preserve">    5.1 Resulting Screens</w:t>
      </w:r>
      <w:r>
        <w:tab/>
      </w:r>
      <w:r>
        <w:rPr>
          <w:rFonts w:ascii="Times New Roman" w:hAnsi="Times New Roman" w:cs="Times New Roman"/>
          <w:b w:val="0"/>
          <w:i w:val="0"/>
          <w:sz w:val="22"/>
        </w:rPr>
        <w:t>22</w:t>
      </w:r>
    </w:p>
    <w:p>
      <w:pPr>
        <w:jc w:val="left"/>
        <w:spacing w:before="20" w:after="20"/>
        <w:tabs>
          <w:tab w:val="right" w:leader="dot" w:pos="9026"/>
        </w:tabs>
      </w:pPr>
      <w:r>
        <w:rPr>
          <w:rFonts w:ascii="Times New Roman" w:hAnsi="Times New Roman" w:cs="Times New Roman"/>
          <w:b w:val="0"/>
          <w:i w:val="0"/>
          <w:sz w:val="22"/>
        </w:rPr>
        <w:t xml:space="preserve">        5.1.1 Offensive AI Simulation Sandbox Interface</w:t>
      </w:r>
      <w:r>
        <w:tab/>
      </w:r>
      <w:r>
        <w:rPr>
          <w:rFonts w:ascii="Times New Roman" w:hAnsi="Times New Roman" w:cs="Times New Roman"/>
          <w:b w:val="0"/>
          <w:i w:val="0"/>
          <w:sz w:val="22"/>
        </w:rPr>
        <w:t>22</w:t>
      </w:r>
    </w:p>
    <w:p>
      <w:pPr>
        <w:jc w:val="left"/>
        <w:spacing w:before="20" w:after="20"/>
        <w:tabs>
          <w:tab w:val="right" w:leader="dot" w:pos="9026"/>
        </w:tabs>
      </w:pPr>
      <w:r>
        <w:rPr>
          <w:rFonts w:ascii="Times New Roman" w:hAnsi="Times New Roman" w:cs="Times New Roman"/>
          <w:b w:val="0"/>
          <w:i w:val="0"/>
          <w:sz w:val="22"/>
        </w:rPr>
        <w:t xml:space="preserve">        5.1.2 Behavioral Simulation Execution — Vulnerable Decision</w:t>
      </w:r>
      <w:r>
        <w:tab/>
      </w:r>
      <w:r>
        <w:rPr>
          <w:rFonts w:ascii="Times New Roman" w:hAnsi="Times New Roman" w:cs="Times New Roman"/>
          <w:b w:val="0"/>
          <w:i w:val="0"/>
          <w:sz w:val="22"/>
        </w:rPr>
        <w:t>22</w:t>
      </w:r>
    </w:p>
    <w:p>
      <w:pPr>
        <w:jc w:val="left"/>
        <w:spacing w:before="20" w:after="20"/>
        <w:tabs>
          <w:tab w:val="right" w:leader="dot" w:pos="9026"/>
        </w:tabs>
      </w:pPr>
      <w:r>
        <w:rPr>
          <w:rFonts w:ascii="Times New Roman" w:hAnsi="Times New Roman" w:cs="Times New Roman"/>
          <w:b w:val="0"/>
          <w:i w:val="0"/>
          <w:sz w:val="22"/>
        </w:rPr>
        <w:t xml:space="preserve">        5.1.3 Behavioral Simulation Execution — Safe Decision</w:t>
      </w:r>
      <w:r>
        <w:tab/>
      </w:r>
      <w:r>
        <w:rPr>
          <w:rFonts w:ascii="Times New Roman" w:hAnsi="Times New Roman" w:cs="Times New Roman"/>
          <w:b w:val="0"/>
          <w:i w:val="0"/>
          <w:sz w:val="22"/>
        </w:rPr>
        <w:t>23</w:t>
      </w:r>
    </w:p>
    <w:p>
      <w:pPr>
        <w:jc w:val="left"/>
        <w:spacing w:before="20" w:after="20"/>
        <w:tabs>
          <w:tab w:val="right" w:leader="dot" w:pos="9026"/>
        </w:tabs>
      </w:pPr>
      <w:r>
        <w:rPr>
          <w:rFonts w:ascii="Times New Roman" w:hAnsi="Times New Roman" w:cs="Times New Roman"/>
          <w:b w:val="0"/>
          <w:i w:val="0"/>
          <w:sz w:val="22"/>
        </w:rPr>
        <w:t xml:space="preserve">        5.1.4 Defensive AI Scanning Portal &amp; Real-Time Feed</w:t>
      </w:r>
      <w:r>
        <w:tab/>
      </w:r>
      <w:r>
        <w:rPr>
          <w:rFonts w:ascii="Times New Roman" w:hAnsi="Times New Roman" w:cs="Times New Roman"/>
          <w:b w:val="0"/>
          <w:i w:val="0"/>
          <w:sz w:val="22"/>
        </w:rPr>
        <w:t>24</w:t>
      </w:r>
    </w:p>
    <w:p>
      <w:pPr>
        <w:jc w:val="left"/>
        <w:spacing w:before="20" w:after="20"/>
        <w:tabs>
          <w:tab w:val="right" w:leader="dot" w:pos="9026"/>
        </w:tabs>
      </w:pPr>
      <w:r>
        <w:rPr>
          <w:rFonts w:ascii="Times New Roman" w:hAnsi="Times New Roman" w:cs="Times New Roman"/>
          <w:b w:val="0"/>
          <w:i w:val="0"/>
          <w:sz w:val="22"/>
        </w:rPr>
        <w:t xml:space="preserve">        5.1.5 Enterprise Incident Management &amp; Real-Time Triage</w:t>
      </w:r>
      <w:r>
        <w:tab/>
      </w:r>
      <w:r>
        <w:rPr>
          <w:rFonts w:ascii="Times New Roman" w:hAnsi="Times New Roman" w:cs="Times New Roman"/>
          <w:b w:val="0"/>
          <w:i w:val="0"/>
          <w:sz w:val="22"/>
        </w:rPr>
        <w:t>25</w:t>
      </w:r>
    </w:p>
    <w:p>
      <w:pPr>
        <w:jc w:val="left"/>
        <w:spacing w:before="20" w:after="20"/>
        <w:tabs>
          <w:tab w:val="right" w:leader="dot" w:pos="9026"/>
        </w:tabs>
      </w:pPr>
      <w:r>
        <w:rPr>
          <w:rFonts w:ascii="Times New Roman" w:hAnsi="Times New Roman" w:cs="Times New Roman"/>
          <w:b w:val="0"/>
          <w:i w:val="0"/>
          <w:sz w:val="22"/>
        </w:rPr>
        <w:t xml:space="preserve">        5.1.6 Real-Time SOC Analytics &amp; Database Persistence</w:t>
      </w:r>
      <w:r>
        <w:tab/>
      </w:r>
      <w:r>
        <w:rPr>
          <w:rFonts w:ascii="Times New Roman" w:hAnsi="Times New Roman" w:cs="Times New Roman"/>
          <w:b w:val="0"/>
          <w:i w:val="0"/>
          <w:sz w:val="22"/>
        </w:rPr>
        <w:t>25</w:t>
      </w:r>
    </w:p>
    <w:p>
      <w:pPr>
        <w:jc w:val="left"/>
        <w:spacing w:before="20" w:after="20"/>
        <w:tabs>
          <w:tab w:val="right" w:leader="dot" w:pos="9026"/>
        </w:tabs>
      </w:pPr>
      <w:r>
        <w:rPr>
          <w:rFonts w:ascii="Times New Roman" w:hAnsi="Times New Roman" w:cs="Times New Roman"/>
          <w:b w:val="0"/>
          <w:i w:val="0"/>
          <w:sz w:val="22"/>
        </w:rPr>
        <w:t xml:space="preserve">    5.2 Test Results</w:t>
      </w:r>
      <w:r>
        <w:tab/>
      </w:r>
      <w:r>
        <w:rPr>
          <w:rFonts w:ascii="Times New Roman" w:hAnsi="Times New Roman" w:cs="Times New Roman"/>
          <w:b w:val="0"/>
          <w:i w:val="0"/>
          <w:sz w:val="22"/>
        </w:rPr>
        <w:t>26</w:t>
      </w:r>
    </w:p>
    <w:p>
      <w:pPr>
        <w:jc w:val="left"/>
        <w:spacing w:before="20" w:after="20"/>
        <w:tabs>
          <w:tab w:val="right" w:leader="dot" w:pos="9026"/>
        </w:tabs>
      </w:pPr>
      <w:r>
        <w:rPr>
          <w:rFonts w:ascii="Times New Roman" w:hAnsi="Times New Roman" w:cs="Times New Roman"/>
          <w:b w:val="0"/>
          <w:i w:val="0"/>
          <w:sz w:val="22"/>
        </w:rPr>
        <w:t xml:space="preserve">        5.2.1 Automated Backend Tests</w:t>
      </w:r>
      <w:r>
        <w:tab/>
      </w:r>
      <w:r>
        <w:rPr>
          <w:rFonts w:ascii="Times New Roman" w:hAnsi="Times New Roman" w:cs="Times New Roman"/>
          <w:b w:val="0"/>
          <w:i w:val="0"/>
          <w:sz w:val="22"/>
        </w:rPr>
        <w:t>26</w:t>
      </w:r>
    </w:p>
    <w:p>
      <w:pPr>
        <w:jc w:val="left"/>
        <w:spacing w:before="20" w:after="20"/>
        <w:tabs>
          <w:tab w:val="right" w:leader="dot" w:pos="9026"/>
        </w:tabs>
      </w:pPr>
      <w:r>
        <w:rPr>
          <w:rFonts w:ascii="Times New Roman" w:hAnsi="Times New Roman" w:cs="Times New Roman"/>
          <w:b w:val="0"/>
          <w:i w:val="0"/>
          <w:sz w:val="22"/>
        </w:rPr>
        <w:t xml:space="preserve">        5.2.2 Frontend Build Verification</w:t>
      </w:r>
      <w:r>
        <w:tab/>
      </w:r>
      <w:r>
        <w:rPr>
          <w:rFonts w:ascii="Times New Roman" w:hAnsi="Times New Roman" w:cs="Times New Roman"/>
          <w:b w:val="0"/>
          <w:i w:val="0"/>
          <w:sz w:val="22"/>
        </w:rPr>
        <w:t>27</w:t>
      </w:r>
    </w:p>
    <w:p>
      <w:pPr>
        <w:jc w:val="left"/>
        <w:spacing w:before="20" w:after="20"/>
        <w:tabs>
          <w:tab w:val="right" w:leader="dot" w:pos="9026"/>
        </w:tabs>
      </w:pPr>
      <w:r>
        <w:rPr>
          <w:rFonts w:ascii="Times New Roman" w:hAnsi="Times New Roman" w:cs="Times New Roman"/>
          <w:b w:val="0"/>
          <w:i w:val="0"/>
          <w:sz w:val="22"/>
        </w:rPr>
        <w:t xml:space="preserve">        5.2.3 Functional Test Cases</w:t>
      </w:r>
      <w:r>
        <w:tab/>
      </w:r>
      <w:r>
        <w:rPr>
          <w:rFonts w:ascii="Times New Roman" w:hAnsi="Times New Roman" w:cs="Times New Roman"/>
          <w:b w:val="0"/>
          <w:i w:val="0"/>
          <w:sz w:val="22"/>
        </w:rPr>
        <w:t>27</w:t>
      </w:r>
    </w:p>
    <w:p>
      <w:pPr>
        <w:jc w:val="left"/>
        <w:spacing w:before="20" w:after="20"/>
        <w:tabs>
          <w:tab w:val="right" w:leader="dot" w:pos="9026"/>
        </w:tabs>
      </w:pPr>
      <w:r>
        <w:rPr>
          <w:rFonts w:ascii="Times New Roman" w:hAnsi="Times New Roman" w:cs="Times New Roman"/>
          <w:b w:val="0"/>
          <w:i w:val="0"/>
          <w:sz w:val="22"/>
        </w:rPr>
        <w:t xml:space="preserve">        5.2.4 Evaluation Metrics</w:t>
      </w:r>
      <w:r>
        <w:tab/>
      </w:r>
      <w:r>
        <w:rPr>
          <w:rFonts w:ascii="Times New Roman" w:hAnsi="Times New Roman" w:cs="Times New Roman"/>
          <w:b w:val="0"/>
          <w:i w:val="0"/>
          <w:sz w:val="22"/>
        </w:rPr>
        <w:t>27</w:t>
      </w:r>
    </w:p>
    <w:p>
      <w:pPr>
        <w:jc w:val="left"/>
        <w:spacing w:before="20" w:after="20"/>
        <w:tabs>
          <w:tab w:val="right" w:leader="dot" w:pos="9026"/>
        </w:tabs>
      </w:pPr>
      <w:r>
        <w:rPr>
          <w:rFonts w:ascii="Times New Roman" w:hAnsi="Times New Roman" w:cs="Times New Roman"/>
          <w:b w:val="0"/>
          <w:i w:val="0"/>
          <w:sz w:val="22"/>
        </w:rPr>
        <w:t xml:space="preserve">    5.3 Result Analysis</w:t>
      </w:r>
      <w:r>
        <w:tab/>
      </w:r>
      <w:r>
        <w:rPr>
          <w:rFonts w:ascii="Times New Roman" w:hAnsi="Times New Roman" w:cs="Times New Roman"/>
          <w:b w:val="0"/>
          <w:i w:val="0"/>
          <w:sz w:val="22"/>
        </w:rPr>
        <w:t>28</w:t>
      </w:r>
    </w:p>
    <w:p>
      <w:pPr>
        <w:jc w:val="left"/>
        <w:spacing w:before="20" w:after="20"/>
        <w:tabs>
          <w:tab w:val="right" w:leader="dot" w:pos="9026"/>
        </w:tabs>
      </w:pPr>
      <w:r>
        <w:rPr>
          <w:rFonts w:ascii="Times New Roman" w:hAnsi="Times New Roman" w:cs="Times New Roman"/>
          <w:b w:val="0"/>
          <w:i w:val="0"/>
          <w:sz w:val="22"/>
        </w:rPr>
        <w:t xml:space="preserve">        5.3.1 Result Summary</w:t>
      </w:r>
      <w:r>
        <w:tab/>
      </w:r>
      <w:r>
        <w:rPr>
          <w:rFonts w:ascii="Times New Roman" w:hAnsi="Times New Roman" w:cs="Times New Roman"/>
          <w:b w:val="0"/>
          <w:i w:val="0"/>
          <w:sz w:val="22"/>
        </w:rPr>
        <w:t>28</w:t>
      </w:r>
    </w:p>
    <w:p>
      <w:pPr>
        <w:jc w:val="left"/>
        <w:spacing w:before="20" w:after="20"/>
        <w:tabs>
          <w:tab w:val="right" w:leader="dot" w:pos="9026"/>
        </w:tabs>
      </w:pPr>
      <w:r>
        <w:rPr>
          <w:rFonts w:ascii="Times New Roman" w:hAnsi="Times New Roman" w:cs="Times New Roman"/>
          <w:b w:val="0"/>
          <w:i w:val="0"/>
          <w:sz w:val="22"/>
        </w:rPr>
        <w:t xml:space="preserve">        5.3.2 Data Consistency Statement</w:t>
      </w:r>
      <w:r>
        <w:tab/>
      </w:r>
      <w:r>
        <w:rPr>
          <w:rFonts w:ascii="Times New Roman" w:hAnsi="Times New Roman" w:cs="Times New Roman"/>
          <w:b w:val="0"/>
          <w:i w:val="0"/>
          <w:sz w:val="22"/>
        </w:rPr>
        <w:t>31</w:t>
      </w:r>
    </w:p>
    <w:p>
      <w:pPr>
        <w:jc w:val="left"/>
        <w:spacing w:before="20" w:after="20"/>
        <w:tabs>
          <w:tab w:val="right" w:leader="dot" w:pos="9026"/>
        </w:tabs>
      </w:pPr>
      <w:r>
        <w:rPr>
          <w:rFonts w:ascii="Times New Roman" w:hAnsi="Times New Roman" w:cs="Times New Roman"/>
          <w:b w:val="0"/>
          <w:i w:val="0"/>
          <w:sz w:val="22"/>
        </w:rPr>
        <w:t xml:space="preserve">        5.3.3 Threat Intelligence Mock Fallback Note</w:t>
      </w:r>
      <w:r>
        <w:tab/>
      </w:r>
      <w:r>
        <w:rPr>
          <w:rFonts w:ascii="Times New Roman" w:hAnsi="Times New Roman" w:cs="Times New Roman"/>
          <w:b w:val="0"/>
          <w:i w:val="0"/>
          <w:sz w:val="22"/>
        </w:rPr>
        <w:t>31</w:t>
      </w:r>
    </w:p>
    <w:p>
      <w:pPr>
        <w:jc w:val="left"/>
        <w:spacing w:before="20" w:after="20"/>
        <w:tabs>
          <w:tab w:val="right" w:leader="dot" w:pos="9026"/>
        </w:tabs>
      </w:pPr>
      <w:r>
        <w:rPr>
          <w:rFonts w:ascii="Times New Roman" w:hAnsi="Times New Roman" w:cs="Times New Roman"/>
          <w:b w:val="0"/>
          <w:i w:val="0"/>
          <w:sz w:val="22"/>
        </w:rPr>
        <w:t xml:space="preserve">        5.3.4 Known Limitations</w:t>
      </w:r>
      <w:r>
        <w:tab/>
      </w:r>
      <w:r>
        <w:rPr>
          <w:rFonts w:ascii="Times New Roman" w:hAnsi="Times New Roman" w:cs="Times New Roman"/>
          <w:b w:val="0"/>
          <w:i w:val="0"/>
          <w:sz w:val="22"/>
        </w:rPr>
        <w:t>31</w:t>
      </w:r>
    </w:p>
    <w:p>
      <w:pPr>
        <w:jc w:val="left"/>
        <w:spacing w:before="20" w:after="20"/>
        <w:tabs>
          <w:tab w:val="right" w:leader="dot" w:pos="9026"/>
        </w:tabs>
      </w:pPr>
      <w:r>
        <w:rPr>
          <w:rFonts w:ascii="Times New Roman" w:hAnsi="Times New Roman" w:cs="Times New Roman"/>
          <w:b w:val="0"/>
          <w:i w:val="0"/>
          <w:sz w:val="22"/>
        </w:rPr>
        <w:t xml:space="preserve">    5.4 Challenges Faced and Solutions</w:t>
      </w:r>
      <w:r>
        <w:tab/>
      </w:r>
      <w:r>
        <w:rPr>
          <w:rFonts w:ascii="Times New Roman" w:hAnsi="Times New Roman" w:cs="Times New Roman"/>
          <w:b w:val="0"/>
          <w:i w:val="0"/>
          <w:sz w:val="22"/>
        </w:rPr>
        <w:t>32</w:t>
      </w:r>
    </w:p>
    <w:p>
      <w:pPr>
        <w:jc w:val="left"/>
        <w:spacing w:before="40" w:after="40"/>
        <w:tabs>
          <w:tab w:val="right" w:leader="dot" w:pos="9026"/>
        </w:tabs>
      </w:pPr>
      <w:r>
        <w:rPr>
          <w:rFonts w:ascii="Times New Roman" w:hAnsi="Times New Roman" w:cs="Times New Roman"/>
          <w:b/>
          <w:i w:val="0"/>
          <w:sz w:val="23"/>
        </w:rPr>
        <w:t>Chapter 6 Conclusion &amp; Future Scope</w:t>
      </w:r>
      <w:r>
        <w:tab/>
      </w:r>
      <w:r>
        <w:rPr>
          <w:rFonts w:ascii="Times New Roman" w:hAnsi="Times New Roman" w:cs="Times New Roman"/>
          <w:b/>
          <w:i w:val="0"/>
          <w:sz w:val="23"/>
        </w:rPr>
        <w:t>33</w:t>
      </w:r>
    </w:p>
    <w:p>
      <w:pPr>
        <w:jc w:val="left"/>
        <w:spacing w:before="20" w:after="20"/>
        <w:tabs>
          <w:tab w:val="right" w:leader="dot" w:pos="9026"/>
        </w:tabs>
      </w:pPr>
      <w:r>
        <w:rPr>
          <w:rFonts w:ascii="Times New Roman" w:hAnsi="Times New Roman" w:cs="Times New Roman"/>
          <w:b w:val="0"/>
          <w:i w:val="0"/>
          <w:sz w:val="22"/>
        </w:rPr>
        <w:t xml:space="preserve">    6.1 Conclusion</w:t>
      </w:r>
      <w:r>
        <w:tab/>
      </w:r>
      <w:r>
        <w:rPr>
          <w:rFonts w:ascii="Times New Roman" w:hAnsi="Times New Roman" w:cs="Times New Roman"/>
          <w:b w:val="0"/>
          <w:i w:val="0"/>
          <w:sz w:val="22"/>
        </w:rPr>
        <w:t>33</w:t>
      </w:r>
    </w:p>
    <w:p>
      <w:pPr>
        <w:jc w:val="left"/>
        <w:spacing w:before="20" w:after="20"/>
        <w:tabs>
          <w:tab w:val="right" w:leader="dot" w:pos="9026"/>
        </w:tabs>
      </w:pPr>
      <w:r>
        <w:rPr>
          <w:rFonts w:ascii="Times New Roman" w:hAnsi="Times New Roman" w:cs="Times New Roman"/>
          <w:b w:val="0"/>
          <w:i w:val="0"/>
          <w:sz w:val="22"/>
        </w:rPr>
        <w:t xml:space="preserve">    6.2 Future Scope</w:t>
      </w:r>
      <w:r>
        <w:tab/>
      </w:r>
      <w:r>
        <w:rPr>
          <w:rFonts w:ascii="Times New Roman" w:hAnsi="Times New Roman" w:cs="Times New Roman"/>
          <w:b w:val="0"/>
          <w:i w:val="0"/>
          <w:sz w:val="22"/>
        </w:rPr>
        <w:t>33</w:t>
      </w:r>
    </w:p>
    <w:p>
      <w:pPr>
        <w:jc w:val="left"/>
        <w:spacing w:before="20" w:after="20"/>
        <w:tabs>
          <w:tab w:val="right" w:leader="dot" w:pos="9026"/>
        </w:tabs>
      </w:pPr>
      <w:r>
        <w:rPr>
          <w:rFonts w:ascii="Times New Roman" w:hAnsi="Times New Roman" w:cs="Times New Roman"/>
          <w:b w:val="0"/>
          <w:i w:val="0"/>
          <w:sz w:val="22"/>
        </w:rPr>
        <w:t xml:space="preserve">    Roadmap</w:t>
      </w:r>
      <w:r>
        <w:tab/>
      </w:r>
      <w:r>
        <w:rPr>
          <w:rFonts w:ascii="Times New Roman" w:hAnsi="Times New Roman" w:cs="Times New Roman"/>
          <w:b w:val="0"/>
          <w:i w:val="0"/>
          <w:sz w:val="22"/>
        </w:rPr>
        <w:t>34</w:t>
      </w:r>
    </w:p>
    <w:p>
      <w:pPr>
        <w:jc w:val="left"/>
        <w:spacing w:before="40" w:after="40"/>
        <w:tabs>
          <w:tab w:val="right" w:leader="dot" w:pos="9026"/>
        </w:tabs>
      </w:pPr>
      <w:r>
        <w:rPr>
          <w:rFonts w:ascii="Times New Roman" w:hAnsi="Times New Roman" w:cs="Times New Roman"/>
          <w:b/>
          <w:i w:val="0"/>
          <w:sz w:val="23"/>
        </w:rPr>
        <w:t>References</w:t>
      </w:r>
      <w:r>
        <w:tab/>
      </w:r>
      <w:r>
        <w:rPr>
          <w:rFonts w:ascii="Times New Roman" w:hAnsi="Times New Roman" w:cs="Times New Roman"/>
          <w:b/>
          <w:i w:val="0"/>
          <w:sz w:val="23"/>
        </w:rPr>
        <w:t>35</w:t>
      </w:r>
    </w:p>
    <w:p>
      <w:pPr>
        <w:jc w:val="center"/>
        <w:pageBreakBefore/>
        <w:spacing w:after="240"/>
      </w:pPr>
      <w:r>
        <w:rPr>
          <w:rFonts w:ascii="Times New Roman" w:hAnsi="Times New Roman" w:cs="Times New Roman"/>
          <w:b/>
          <w:i w:val="0"/>
          <w:sz w:val="32"/>
        </w:rPr>
        <w:t>LIST OF FIGURES</w:t>
      </w:r>
    </w:p>
    <w:p>
      <w:pPr>
        <w:spacing w:after="140"/>
        <w:tabs>
          <w:tab w:val="right" w:pos="9026"/>
        </w:tabs>
      </w:pPr>
      <w:r>
        <w:rPr>
          <w:rFonts w:ascii="Times New Roman" w:hAnsi="Times New Roman" w:cs="Times New Roman"/>
          <w:b/>
          <w:i w:val="0"/>
          <w:sz w:val="23"/>
        </w:rPr>
        <w:t>NAME OF THE FIGURE</w:t>
      </w:r>
      <w:r>
        <w:tab/>
      </w:r>
      <w:r>
        <w:rPr>
          <w:rFonts w:ascii="Times New Roman" w:hAnsi="Times New Roman" w:cs="Times New Roman"/>
          <w:b/>
          <w:i w:val="0"/>
          <w:sz w:val="23"/>
        </w:rPr>
        <w:t>Page No.</w:t>
      </w:r>
    </w:p>
    <w:p>
      <w:pPr>
        <w:jc w:val="left"/>
        <w:spacing w:before="30" w:after="30"/>
        <w:tabs>
          <w:tab w:val="right" w:leader="dot" w:pos="9026"/>
        </w:tabs>
      </w:pPr>
      <w:r>
        <w:rPr>
          <w:rFonts w:ascii="Times New Roman" w:hAnsi="Times New Roman" w:cs="Times New Roman"/>
          <w:b w:val="0"/>
          <w:i w:val="0"/>
          <w:sz w:val="22"/>
        </w:rPr>
        <w:t>Fig.1  Architectural Diagram of the SemanticShield AI Platform</w:t>
      </w:r>
      <w:r>
        <w:tab/>
      </w:r>
      <w:r>
        <w:rPr>
          <w:rFonts w:ascii="Times New Roman" w:hAnsi="Times New Roman" w:cs="Times New Roman"/>
          <w:b w:val="0"/>
          <w:i w:val="0"/>
          <w:sz w:val="22"/>
        </w:rPr>
        <w:t>14</w:t>
      </w:r>
    </w:p>
    <w:p>
      <w:pPr>
        <w:jc w:val="left"/>
        <w:spacing w:before="30" w:after="30"/>
        <w:tabs>
          <w:tab w:val="right" w:leader="dot" w:pos="9026"/>
        </w:tabs>
      </w:pPr>
      <w:r>
        <w:rPr>
          <w:rFonts w:ascii="Times New Roman" w:hAnsi="Times New Roman" w:cs="Times New Roman"/>
          <w:b w:val="0"/>
          <w:i w:val="0"/>
          <w:sz w:val="22"/>
        </w:rPr>
        <w:t>Fig.2  Data Flow Diagram of the SemanticShield AI Platform</w:t>
      </w:r>
      <w:r>
        <w:tab/>
      </w:r>
      <w:r>
        <w:rPr>
          <w:rFonts w:ascii="Times New Roman" w:hAnsi="Times New Roman" w:cs="Times New Roman"/>
          <w:b w:val="0"/>
          <w:i w:val="0"/>
          <w:sz w:val="22"/>
        </w:rPr>
        <w:t>15</w:t>
      </w:r>
    </w:p>
    <w:p>
      <w:pPr>
        <w:jc w:val="left"/>
        <w:spacing w:before="30" w:after="30"/>
        <w:tabs>
          <w:tab w:val="right" w:leader="dot" w:pos="9026"/>
        </w:tabs>
      </w:pPr>
      <w:r>
        <w:rPr>
          <w:rFonts w:ascii="Times New Roman" w:hAnsi="Times New Roman" w:cs="Times New Roman"/>
          <w:b w:val="0"/>
          <w:i w:val="0"/>
          <w:sz w:val="22"/>
        </w:rPr>
        <w:t>Fig.3  Sequence Diagram of the SemanticShield AI Platform</w:t>
      </w:r>
      <w:r>
        <w:tab/>
      </w:r>
      <w:r>
        <w:rPr>
          <w:rFonts w:ascii="Times New Roman" w:hAnsi="Times New Roman" w:cs="Times New Roman"/>
          <w:b w:val="0"/>
          <w:i w:val="0"/>
          <w:sz w:val="22"/>
        </w:rPr>
        <w:t>15</w:t>
      </w:r>
    </w:p>
    <w:p>
      <w:pPr>
        <w:jc w:val="left"/>
        <w:spacing w:before="30" w:after="30"/>
        <w:tabs>
          <w:tab w:val="right" w:leader="dot" w:pos="9026"/>
        </w:tabs>
      </w:pPr>
      <w:r>
        <w:rPr>
          <w:rFonts w:ascii="Times New Roman" w:hAnsi="Times New Roman" w:cs="Times New Roman"/>
          <w:b w:val="0"/>
          <w:i w:val="0"/>
          <w:sz w:val="22"/>
        </w:rPr>
        <w:t>Fig.4  SemanticShield AI Threat Simulation &amp; Analysis Lifecycle</w:t>
      </w:r>
      <w:r>
        <w:tab/>
      </w:r>
      <w:r>
        <w:rPr>
          <w:rFonts w:ascii="Times New Roman" w:hAnsi="Times New Roman" w:cs="Times New Roman"/>
          <w:b w:val="0"/>
          <w:i w:val="0"/>
          <w:sz w:val="22"/>
        </w:rPr>
        <w:t>16</w:t>
      </w:r>
    </w:p>
    <w:p>
      <w:pPr>
        <w:jc w:val="left"/>
        <w:spacing w:before="30" w:after="30"/>
        <w:tabs>
          <w:tab w:val="right" w:leader="dot" w:pos="9026"/>
        </w:tabs>
      </w:pPr>
      <w:r>
        <w:rPr>
          <w:rFonts w:ascii="Times New Roman" w:hAnsi="Times New Roman" w:cs="Times New Roman"/>
          <w:b w:val="0"/>
          <w:i w:val="0"/>
          <w:sz w:val="22"/>
        </w:rPr>
        <w:t>Fig.5  Deployment Architecture of SemanticShield AI</w:t>
      </w:r>
      <w:r>
        <w:tab/>
      </w:r>
      <w:r>
        <w:rPr>
          <w:rFonts w:ascii="Times New Roman" w:hAnsi="Times New Roman" w:cs="Times New Roman"/>
          <w:b w:val="0"/>
          <w:i w:val="0"/>
          <w:sz w:val="22"/>
        </w:rPr>
        <w:t>16</w:t>
      </w:r>
    </w:p>
    <w:p>
      <w:pPr>
        <w:jc w:val="left"/>
        <w:spacing w:before="30" w:after="30"/>
        <w:tabs>
          <w:tab w:val="right" w:leader="dot" w:pos="9026"/>
        </w:tabs>
      </w:pPr>
      <w:r>
        <w:rPr>
          <w:rFonts w:ascii="Times New Roman" w:hAnsi="Times New Roman" w:cs="Times New Roman"/>
          <w:b w:val="0"/>
          <w:i w:val="0"/>
          <w:sz w:val="22"/>
        </w:rPr>
        <w:t>Fig.6  Offensive AI Simulation Sandbox Interface</w:t>
      </w:r>
      <w:r>
        <w:tab/>
      </w:r>
      <w:r>
        <w:rPr>
          <w:rFonts w:ascii="Times New Roman" w:hAnsi="Times New Roman" w:cs="Times New Roman"/>
          <w:b w:val="0"/>
          <w:i w:val="0"/>
          <w:sz w:val="22"/>
        </w:rPr>
        <w:t>22</w:t>
      </w:r>
    </w:p>
    <w:p>
      <w:pPr>
        <w:jc w:val="left"/>
        <w:spacing w:before="30" w:after="30"/>
        <w:tabs>
          <w:tab w:val="right" w:leader="dot" w:pos="9026"/>
        </w:tabs>
      </w:pPr>
      <w:r>
        <w:rPr>
          <w:rFonts w:ascii="Times New Roman" w:hAnsi="Times New Roman" w:cs="Times New Roman"/>
          <w:b w:val="0"/>
          <w:i w:val="0"/>
          <w:sz w:val="22"/>
        </w:rPr>
        <w:t>Fig.7  Simulation Result Drawer — Vulnerable Outcome</w:t>
      </w:r>
      <w:r>
        <w:tab/>
      </w:r>
      <w:r>
        <w:rPr>
          <w:rFonts w:ascii="Times New Roman" w:hAnsi="Times New Roman" w:cs="Times New Roman"/>
          <w:b w:val="0"/>
          <w:i w:val="0"/>
          <w:sz w:val="22"/>
        </w:rPr>
        <w:t>23</w:t>
      </w:r>
    </w:p>
    <w:p>
      <w:pPr>
        <w:jc w:val="left"/>
        <w:spacing w:before="30" w:after="30"/>
        <w:tabs>
          <w:tab w:val="right" w:leader="dot" w:pos="9026"/>
        </w:tabs>
      </w:pPr>
      <w:r>
        <w:rPr>
          <w:rFonts w:ascii="Times New Roman" w:hAnsi="Times New Roman" w:cs="Times New Roman"/>
          <w:b w:val="0"/>
          <w:i w:val="0"/>
          <w:sz w:val="22"/>
        </w:rPr>
        <w:t>Fig.8  Simulation Result Drawer — Safe Outcome</w:t>
      </w:r>
      <w:r>
        <w:tab/>
      </w:r>
      <w:r>
        <w:rPr>
          <w:rFonts w:ascii="Times New Roman" w:hAnsi="Times New Roman" w:cs="Times New Roman"/>
          <w:b w:val="0"/>
          <w:i w:val="0"/>
          <w:sz w:val="22"/>
        </w:rPr>
        <w:t>24</w:t>
      </w:r>
    </w:p>
    <w:p>
      <w:pPr>
        <w:jc w:val="left"/>
        <w:spacing w:before="30" w:after="30"/>
        <w:tabs>
          <w:tab w:val="right" w:leader="dot" w:pos="9026"/>
        </w:tabs>
      </w:pPr>
      <w:r>
        <w:rPr>
          <w:rFonts w:ascii="Times New Roman" w:hAnsi="Times New Roman" w:cs="Times New Roman"/>
          <w:b w:val="0"/>
          <w:i w:val="0"/>
          <w:sz w:val="22"/>
        </w:rPr>
        <w:t>Fig.9  Defensive AI Scanning Portal &amp; Real-Time Telemetry Feed</w:t>
      </w:r>
      <w:r>
        <w:tab/>
      </w:r>
      <w:r>
        <w:rPr>
          <w:rFonts w:ascii="Times New Roman" w:hAnsi="Times New Roman" w:cs="Times New Roman"/>
          <w:b w:val="0"/>
          <w:i w:val="0"/>
          <w:sz w:val="22"/>
        </w:rPr>
        <w:t>25</w:t>
      </w:r>
    </w:p>
    <w:p>
      <w:pPr>
        <w:jc w:val="left"/>
        <w:spacing w:before="30" w:after="30"/>
        <w:tabs>
          <w:tab w:val="right" w:leader="dot" w:pos="9026"/>
        </w:tabs>
      </w:pPr>
      <w:r>
        <w:rPr>
          <w:rFonts w:ascii="Times New Roman" w:hAnsi="Times New Roman" w:cs="Times New Roman"/>
          <w:b w:val="0"/>
          <w:i w:val="0"/>
          <w:sz w:val="22"/>
        </w:rPr>
        <w:t>Fig.10  Enterprise Incident Management &amp; Real-Time Triage Dashboard</w:t>
      </w:r>
      <w:r>
        <w:tab/>
      </w:r>
      <w:r>
        <w:rPr>
          <w:rFonts w:ascii="Times New Roman" w:hAnsi="Times New Roman" w:cs="Times New Roman"/>
          <w:b w:val="0"/>
          <w:i w:val="0"/>
          <w:sz w:val="22"/>
        </w:rPr>
        <w:t>25</w:t>
      </w:r>
    </w:p>
    <w:p>
      <w:pPr>
        <w:jc w:val="left"/>
        <w:spacing w:before="30" w:after="30"/>
        <w:tabs>
          <w:tab w:val="right" w:leader="dot" w:pos="9026"/>
        </w:tabs>
      </w:pPr>
      <w:r>
        <w:rPr>
          <w:rFonts w:ascii="Times New Roman" w:hAnsi="Times New Roman" w:cs="Times New Roman"/>
          <w:b w:val="0"/>
          <w:i w:val="0"/>
          <w:sz w:val="22"/>
        </w:rPr>
        <w:t>Fig.11  Real-Time SOC Analytics &amp; Database Persistence Dashboard</w:t>
      </w:r>
      <w:r>
        <w:tab/>
      </w:r>
      <w:r>
        <w:rPr>
          <w:rFonts w:ascii="Times New Roman" w:hAnsi="Times New Roman" w:cs="Times New Roman"/>
          <w:b w:val="0"/>
          <w:i w:val="0"/>
          <w:sz w:val="22"/>
        </w:rPr>
        <w:t>26</w:t>
      </w:r>
    </w:p>
    <w:p>
      <w:pPr>
        <w:jc w:val="left"/>
        <w:spacing w:before="30" w:after="30"/>
        <w:tabs>
          <w:tab w:val="right" w:leader="dot" w:pos="9026"/>
        </w:tabs>
      </w:pPr>
      <w:r>
        <w:rPr>
          <w:rFonts w:ascii="Times New Roman" w:hAnsi="Times New Roman" w:cs="Times New Roman"/>
          <w:b w:val="0"/>
          <w:i w:val="0"/>
          <w:sz w:val="22"/>
        </w:rPr>
        <w:t>Fig.12  Decision Distribution by Behavioral Profile</w:t>
      </w:r>
      <w:r>
        <w:tab/>
      </w:r>
      <w:r>
        <w:rPr>
          <w:rFonts w:ascii="Times New Roman" w:hAnsi="Times New Roman" w:cs="Times New Roman"/>
          <w:b w:val="0"/>
          <w:i w:val="0"/>
          <w:sz w:val="22"/>
        </w:rPr>
        <w:t>28</w:t>
      </w:r>
    </w:p>
    <w:p>
      <w:pPr>
        <w:jc w:val="left"/>
        <w:spacing w:before="30" w:after="30"/>
        <w:tabs>
          <w:tab w:val="right" w:leader="dot" w:pos="9026"/>
        </w:tabs>
      </w:pPr>
      <w:r>
        <w:rPr>
          <w:rFonts w:ascii="Times New Roman" w:hAnsi="Times New Roman" w:cs="Times New Roman"/>
          <w:b w:val="0"/>
          <w:i w:val="0"/>
          <w:sz w:val="22"/>
        </w:rPr>
        <w:t>Fig.13  Scenario-by-Profile Vulnerability Heatmap</w:t>
      </w:r>
      <w:r>
        <w:tab/>
      </w:r>
      <w:r>
        <w:rPr>
          <w:rFonts w:ascii="Times New Roman" w:hAnsi="Times New Roman" w:cs="Times New Roman"/>
          <w:b w:val="0"/>
          <w:i w:val="0"/>
          <w:sz w:val="22"/>
        </w:rPr>
        <w:t>29</w:t>
      </w:r>
    </w:p>
    <w:p>
      <w:pPr>
        <w:jc w:val="left"/>
        <w:spacing w:before="30" w:after="30"/>
        <w:tabs>
          <w:tab w:val="right" w:leader="dot" w:pos="9026"/>
        </w:tabs>
      </w:pPr>
      <w:r>
        <w:rPr>
          <w:rFonts w:ascii="Times New Roman" w:hAnsi="Times New Roman" w:cs="Times New Roman"/>
          <w:b w:val="0"/>
          <w:i w:val="0"/>
          <w:sz w:val="22"/>
        </w:rPr>
        <w:t>Fig.14  Threat Severity Distribution across Scenarios</w:t>
      </w:r>
      <w:r>
        <w:tab/>
      </w:r>
      <w:r>
        <w:rPr>
          <w:rFonts w:ascii="Times New Roman" w:hAnsi="Times New Roman" w:cs="Times New Roman"/>
          <w:b w:val="0"/>
          <w:i w:val="0"/>
          <w:sz w:val="22"/>
        </w:rPr>
        <w:t>30</w:t>
      </w:r>
    </w:p>
    <w:p>
      <w:pPr>
        <w:jc w:val="left"/>
        <w:spacing w:before="30" w:after="30"/>
        <w:tabs>
          <w:tab w:val="right" w:leader="dot" w:pos="9026"/>
        </w:tabs>
      </w:pPr>
      <w:r>
        <w:rPr>
          <w:rFonts w:ascii="Times New Roman" w:hAnsi="Times New Roman" w:cs="Times New Roman"/>
          <w:b w:val="0"/>
          <w:i w:val="0"/>
          <w:sz w:val="22"/>
        </w:rPr>
        <w:t>Fig.15  Mean Execution Duration per Behavioral Profile</w:t>
      </w:r>
      <w:r>
        <w:tab/>
      </w:r>
      <w:r>
        <w:rPr>
          <w:rFonts w:ascii="Times New Roman" w:hAnsi="Times New Roman" w:cs="Times New Roman"/>
          <w:b w:val="0"/>
          <w:i w:val="0"/>
          <w:sz w:val="22"/>
        </w:rPr>
        <w:t>31</w:t>
      </w:r>
    </w:p>
    <w:p>
      <w:pPr>
        <w:sectPr>
          <w:footerReference w:type="default" r:id="rId9"/>
          <w:footerReference w:type="first" r:id="rId10"/>
          <w:pgSz w:w="11906" w:h="16838"/>
          <w:pgMar w:top="1440" w:right="1440" w:bottom="1300" w:left="1440" w:header="708" w:footer="708" w:gutter="0"/>
          <w:pgNumType w:fmt="lowerRoman" w:start="1"/>
          <w:cols w:space="720"/>
          <w:titlePg/>
          <w:docGrid w:linePitch="360"/>
        </w:sectPr>
      </w:pPr>
    </w:p>
    <w:p>
      <w:pPr>
        <w:pStyle w:val="Heading1"/>
        <w:jc w:val="center"/>
        <w:pageBreakBefore/>
        <w:spacing w:before="0" w:after="60"/>
      </w:pPr>
      <w:r>
        <w:rPr>
          <w:rFonts w:ascii="Times New Roman" w:hAnsi="Times New Roman" w:cs="Times New Roman"/>
          <w:b/>
          <w:i w:val="0"/>
          <w:sz w:val="30"/>
        </w:rPr>
        <w:t>CHAPTER - 1</w:t>
      </w:r>
    </w:p>
    <w:p>
      <w:pPr>
        <w:jc w:val="center"/>
        <w:spacing w:before="0" w:after="240"/>
      </w:pPr>
      <w:r>
        <w:rPr>
          <w:rFonts w:ascii="Times New Roman" w:hAnsi="Times New Roman" w:cs="Times New Roman"/>
          <w:b/>
          <w:i w:val="0"/>
          <w:sz w:val="30"/>
        </w:rPr>
        <w:t>INTRODUCTION</w:t>
      </w:r>
    </w:p>
    <w:p>
      <w:pPr>
        <w:jc w:val="both"/>
        <w:spacing w:before="0" w:after="140" w:line="300" w:lineRule="auto"/>
      </w:pPr>
      <w:r>
        <w:rPr>
          <w:rFonts w:ascii="Times New Roman" w:hAnsi="Times New Roman" w:cs="Times New Roman"/>
          <w:b w:val="0"/>
          <w:i w:val="0"/>
          <w:sz w:val="24"/>
        </w:rPr>
        <w:t>Information systems and corporate communication channels generate continuous operational telemetry. While software vulnerabilities and misconfigurations represent conventional entry vectors for network intrusions, social engineering and phishing attacks have emerged as the primary initial access technique exploited by sophisticated threat actors worldwide. Attackers deliberately bypass cryptographic boundaries and perimeter firewalls by targeting human psychology, exploiting cognitive heuristics such as authority deference, acute deadline pressure, fear of regulatory penalty, and corporate brand trust. A fraudulent email requiring a quick credential reset or an urgent invoice confirmation requires only a single unverified click to compromise an entire enterprise active directory infrastructure.</w:t>
      </w:r>
    </w:p>
    <w:p>
      <w:pPr>
        <w:jc w:val="both"/>
        <w:spacing w:before="0" w:after="140" w:line="300" w:lineRule="auto"/>
      </w:pPr>
      <w:r>
        <w:rPr>
          <w:rFonts w:ascii="Times New Roman" w:hAnsi="Times New Roman" w:cs="Times New Roman"/>
          <w:b w:val="0"/>
          <w:i w:val="0"/>
          <w:sz w:val="24"/>
        </w:rPr>
        <w:t>Security Operations Centres (SOCs) exist to monitor, detect, analyze, and neutralize incoming threats across corporate environments. In a mature operational workflow, tier-1 and tier-2 SOC analysts depend upon Security Information and Event Management (SIEM) systems, Secure Email Gateways (SEGs), automated threat intelligence feeds, and incident management queues. However, traditional enterprise security paradigms suffer from an acute structural disconnect: defensive threat analysis and offensive security awareness training are managed through isolated, non-communicating tools. Security awareness programs run quarterly phishing campaigns using rigid, pre-defined templates, while SOC analysts spend countless hours triaging alert queues without visibility into employee behavioral vulnerabilities.</w:t>
      </w:r>
    </w:p>
    <w:p>
      <w:pPr>
        <w:jc w:val="both"/>
        <w:spacing w:before="0" w:after="140" w:line="300" w:lineRule="auto"/>
      </w:pPr>
      <w:r>
        <w:rPr>
          <w:rFonts w:ascii="Times New Roman" w:hAnsi="Times New Roman" w:cs="Times New Roman"/>
          <w:b w:val="0"/>
          <w:i w:val="0"/>
          <w:sz w:val="24"/>
        </w:rPr>
        <w:t>SemanticShield AI is designed to unify these traditionally fragmented domains into a single, cohesive, agentic cybersecurity platform. By integrating large language model (LLM) reasoning with transparent multi-agent heuristics, SemanticShield AI models the psychological decision-making processes of distinct organizational employee personas when exposed to deceptive pretexts. Concurrently, it subjects these simulation outcomes to rigorous, deterministic threat analysis, composite risk scoring, automated incident creation mapped to MITRE ATT&amp;CK, and real-time WebSocket telemetry distribution. The system establishes an end-to-end operational pipeline that allows security teams to simulate realistic threat interactions, evaluate behavioral vulnerabilities across departments, and triage resulting security incidents within a unified operational environment.</w:t>
      </w:r>
    </w:p>
    <w:p>
      <w:pPr>
        <w:jc w:val="both"/>
        <w:spacing w:before="0" w:after="140" w:line="300" w:lineRule="auto"/>
      </w:pPr>
      <w:r>
        <w:rPr>
          <w:rFonts w:ascii="Times New Roman" w:hAnsi="Times New Roman" w:cs="Times New Roman"/>
          <w:b w:val="0"/>
          <w:i w:val="0"/>
          <w:sz w:val="24"/>
        </w:rPr>
        <w:t>The platform is engineered using a clean, decoupled architecture: a high-performance Python FastAPI backend, SQLAlchemy 2.0 object-relational persistence with Alembic schema migrations, a modern React 18 single-page application built with Vite, Tailwind CSS, and Recharts, and Google GenAI SDK integration with Gemini 3.5 models. Crucially, the platform enforces a strict architectural boundary between generative reasoning and enterprise risk calculation: while large language models simulate human cognitive responses and generate human-readable technical summaries, final risk scores and severity classifications are computed entirely by deterministic code rules. This architectural constraint guarantees explainability, reproducibility, and absolute immunity from generative hallucination in security metrics.</w:t>
      </w:r>
    </w:p>
    <w:p>
      <w:pPr>
        <w:pStyle w:val="Heading2"/>
        <w:jc w:val="left"/>
        <w:spacing w:before="240" w:after="120"/>
      </w:pPr>
      <w:r>
        <w:rPr>
          <w:rFonts w:ascii="Times New Roman" w:hAnsi="Times New Roman" w:cs="Times New Roman"/>
          <w:b/>
          <w:i w:val="0"/>
          <w:sz w:val="28"/>
        </w:rPr>
        <w:t>1.1 Problem Definition &amp; Description</w:t>
      </w:r>
    </w:p>
    <w:p>
      <w:pPr>
        <w:jc w:val="both"/>
        <w:spacing w:before="0" w:after="140" w:line="300" w:lineRule="auto"/>
      </w:pPr>
      <w:r>
        <w:rPr>
          <w:rFonts w:ascii="Times New Roman" w:hAnsi="Times New Roman" w:cs="Times New Roman"/>
          <w:b w:val="0"/>
          <w:i w:val="0"/>
          <w:sz w:val="24"/>
        </w:rPr>
        <w:t>Enterprise cybersecurity teams and security educators currently confront several critical operational and pedagogical limitations: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Superficial Awareness Metrics: </w:t>
      </w:r>
      <w:r>
        <w:rPr>
          <w:rFonts w:ascii="Times New Roman" w:hAnsi="Times New Roman" w:cs="Times New Roman"/>
          <w:b w:val="0"/>
          <w:i w:val="0"/>
          <w:sz w:val="23"/>
        </w:rPr>
        <w:t>Existing commercial phishing simulation tools (e.g., KnowBe4, Cofense) rely on binary click-rate telemetry. They record whether an employee opened a link or downloaded an attachment, but provide zero contextual insight into why the employee fell victim, what cognitive biases were triggered, or how their reasoning unfolded.</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Static and Predictable Phishing Scenarios: </w:t>
      </w:r>
      <w:r>
        <w:rPr>
          <w:rFonts w:ascii="Times New Roman" w:hAnsi="Times New Roman" w:cs="Times New Roman"/>
          <w:b w:val="0"/>
          <w:i w:val="0"/>
          <w:sz w:val="23"/>
        </w:rPr>
        <w:t>Traditional security training platforms utilize repetitive, static email templates that employees quickly learn to recognize through rote memorization rather than developing genuine analytical threat identification capabilities.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Fragmented Defensive and Offensive Tooling: </w:t>
      </w:r>
      <w:r>
        <w:rPr>
          <w:rFonts w:ascii="Times New Roman" w:hAnsi="Times New Roman" w:cs="Times New Roman"/>
          <w:b w:val="0"/>
          <w:i w:val="0"/>
          <w:sz w:val="23"/>
        </w:rPr>
        <w:t>Threat detection, external intelligence lookups, incident ticket tracking, employee training, and executive reporting are distributed across disparate enterprise products, forcing analysts to manually correlate records across multiple disconnected user interfaces.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Unconstrained AI Hallucination Risks: </w:t>
      </w:r>
      <w:r>
        <w:rPr>
          <w:rFonts w:ascii="Times New Roman" w:hAnsi="Times New Roman" w:cs="Times New Roman"/>
          <w:b w:val="0"/>
          <w:i w:val="0"/>
          <w:sz w:val="23"/>
        </w:rPr>
        <w:t>While modern generative artificial intelligence offers substantial potential for security automation, utilizing language models as unconstrained threat detectors introduces unacceptable risks of fabricated threat assessments, non-deterministic scores, and unsupported security verdicts.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Inaccessible SOC Training Environments: </w:t>
      </w:r>
      <w:r>
        <w:rPr>
          <w:rFonts w:ascii="Times New Roman" w:hAnsi="Times New Roman" w:cs="Times New Roman"/>
          <w:b w:val="0"/>
          <w:i w:val="0"/>
          <w:sz w:val="23"/>
        </w:rPr>
        <w:t>Enterprise SIEM and SOAR platforms require complex server clusters, expensive proprietary licenses, and specialized operational skills, making end-to-end SOC workflow demonstration and training inaccessible to academic laboratories and small technical teams.</w:t>
      </w:r>
    </w:p>
    <w:p>
      <w:pPr>
        <w:pStyle w:val="Heading2"/>
        <w:jc w:val="left"/>
        <w:spacing w:before="240" w:after="120"/>
      </w:pPr>
      <w:r>
        <w:rPr>
          <w:rFonts w:ascii="Times New Roman" w:hAnsi="Times New Roman" w:cs="Times New Roman"/>
          <w:b/>
          <w:i w:val="0"/>
          <w:sz w:val="28"/>
        </w:rPr>
        <w:t>1.2 Objectives of the Project</w:t>
      </w:r>
    </w:p>
    <w:p>
      <w:pPr>
        <w:jc w:val="both"/>
        <w:spacing w:before="0" w:after="140" w:line="300" w:lineRule="auto"/>
      </w:pPr>
      <w:r>
        <w:rPr>
          <w:rFonts w:ascii="Times New Roman" w:hAnsi="Times New Roman" w:cs="Times New Roman"/>
          <w:b w:val="0"/>
          <w:i w:val="0"/>
          <w:sz w:val="24"/>
        </w:rPr>
        <w:t>The primary objective of SemanticShield AI is to architect, develop, and evaluate an integrated cyber defense platform that bridges offensive employee phishing simulation with defensive threat intelligence, multi-agent risk scoring, and real-time SOC incident correlation. Specific project objectives include: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Behavioral Persona Modeling: </w:t>
      </w:r>
      <w:r>
        <w:rPr>
          <w:rFonts w:ascii="Times New Roman" w:hAnsi="Times New Roman" w:cs="Times New Roman"/>
          <w:b w:val="0"/>
          <w:i w:val="0"/>
          <w:sz w:val="23"/>
        </w:rPr>
        <w:t>Design and implement four distinct psychological employee profiles (Trusting HR Manager, Security-Conscious Senior Developer, Overwhelmed Finance Manager, and Executive Vice President) using structured prompt engineering to simulate realistic reactions to deceptive lures.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Deterministic Multi-Agent Risk Scoring: </w:t>
      </w:r>
      <w:r>
        <w:rPr>
          <w:rFonts w:ascii="Times New Roman" w:hAnsi="Times New Roman" w:cs="Times New Roman"/>
          <w:b w:val="0"/>
          <w:i w:val="0"/>
          <w:sz w:val="23"/>
        </w:rPr>
        <w:t>Develop a transparent RiskEngine combining semantic analysis (40%), behavioral pressure analysis (25%), and heuristic URL intelligence (35%) with security floor overrides, ensuring objective, explainable threat scoring.</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Automated Incident Correlation &amp; MITRE Mapping: </w:t>
      </w:r>
      <w:r>
        <w:rPr>
          <w:rFonts w:ascii="Times New Roman" w:hAnsi="Times New Roman" w:cs="Times New Roman"/>
          <w:b w:val="0"/>
          <w:i w:val="0"/>
          <w:sz w:val="23"/>
        </w:rPr>
        <w:t>Automatically convert high-risk simulation outcomes and external threat payloads into structured SOC incidents tagged with relevant MITRE ATT&amp;CK techniques (T1566, T1566.002, T1566.003, T1204.002, T1556, T1539).</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Real-Time Telemetry Streaming: </w:t>
      </w:r>
      <w:r>
        <w:rPr>
          <w:rFonts w:ascii="Times New Roman" w:hAnsi="Times New Roman" w:cs="Times New Roman"/>
          <w:b w:val="0"/>
          <w:i w:val="0"/>
          <w:sz w:val="23"/>
        </w:rPr>
        <w:t>Establish an event-driven telemetry distribution framework using WebSockets across five operational channels (dashboard, incidents, threats, activity, notifications) to enable live analyst visibility without manual page polling.</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Multi-Format Standardized Reporting: </w:t>
      </w:r>
      <w:r>
        <w:rPr>
          <w:rFonts w:ascii="Times New Roman" w:hAnsi="Times New Roman" w:cs="Times New Roman"/>
          <w:b w:val="0"/>
          <w:i w:val="0"/>
          <w:sz w:val="23"/>
        </w:rPr>
        <w:t>Construct an automated reporting engine generating Executive, Technical, SOC Investigation, and IoC reports, with multi-format export capabilities for JSON, Markdown, CSV, and STIX 2.1 threat packages.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Lightweight, Reproducible Architecture: </w:t>
      </w:r>
      <w:r>
        <w:rPr>
          <w:rFonts w:ascii="Times New Roman" w:hAnsi="Times New Roman" w:cs="Times New Roman"/>
          <w:b w:val="0"/>
          <w:i w:val="0"/>
          <w:sz w:val="23"/>
        </w:rPr>
        <w:t>Package the entire platform using accessible open-source technologies (FastAPI, SQLite, SQLAlchemy, React, Vite) allowing complete local deployment, inspection, and verification on standard workstation hardware.</w:t>
      </w:r>
    </w:p>
    <w:p>
      <w:pPr>
        <w:pStyle w:val="Heading2"/>
        <w:jc w:val="left"/>
        <w:spacing w:before="240" w:after="120"/>
      </w:pPr>
      <w:r>
        <w:rPr>
          <w:rFonts w:ascii="Times New Roman" w:hAnsi="Times New Roman" w:cs="Times New Roman"/>
          <w:b/>
          <w:i w:val="0"/>
          <w:sz w:val="28"/>
        </w:rPr>
        <w:t>1.3 Scope of the Project</w:t>
      </w:r>
    </w:p>
    <w:p>
      <w:pPr>
        <w:jc w:val="both"/>
        <w:spacing w:before="0" w:after="140" w:line="300" w:lineRule="auto"/>
      </w:pPr>
      <w:r>
        <w:rPr>
          <w:rFonts w:ascii="Times New Roman" w:hAnsi="Times New Roman" w:cs="Times New Roman"/>
          <w:b w:val="0"/>
          <w:i w:val="0"/>
          <w:sz w:val="24"/>
        </w:rPr>
        <w:t>The operational scope of SemanticShield AI encompasses synthetic phishing email simulation, employee cognitive persona reasoning, URL heuristic analysis (entropy, homoglyphs, credential keywords), multi-provider threat intelligence integration with local caching, incident lifecycle triage, and real-time dashboard telemetry. The platform is specifically designed for academic demonstration, controlled security research laboratories, and enterprise awareness training. It is deliberately implemented as a self-contained prototype system that is not deployed to external production environments. Table 1.1 delineates the boundaries between the implemented features and planned future extensions.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4513"/>
        <w:gridCol w:w="4513"/>
      </w:tblGrid>
      <w:tr>
        <w:tc>
          <w:tcPr>
            <w:tcW w:type="dxa" w:w="4464"/>
            <w:shd w:val="clear" w:color="auto" w:fill="D9E2F3"/>
          </w:tcPr>
          <w:p>
            <w:pPr>
              <w:jc w:val="left"/>
            </w:pPr>
            <w:r>
              <w:rPr>
                <w:rFonts w:ascii="Times New Roman" w:hAnsi="Times New Roman" w:cs="Times New Roman"/>
                <w:b/>
                <w:i w:val="0"/>
                <w:color w:val="0F172A"/>
                <w:sz w:val="20"/>
              </w:rPr>
              <w:t>In Scope (Current Completed System)</w:t>
            </w:r>
          </w:p>
        </w:tc>
        <w:tc>
          <w:tcPr>
            <w:tcW w:type="dxa" w:w="4464"/>
            <w:shd w:val="clear" w:color="auto" w:fill="D9E2F3"/>
          </w:tcPr>
          <w:p>
            <w:pPr>
              <w:jc w:val="left"/>
            </w:pPr>
            <w:r>
              <w:rPr>
                <w:rFonts w:ascii="Times New Roman" w:hAnsi="Times New Roman" w:cs="Times New Roman"/>
                <w:b/>
                <w:i w:val="0"/>
                <w:color w:val="0F172A"/>
                <w:sz w:val="20"/>
              </w:rPr>
              <w:t>Out of Scope (Future Planned Scope)</w:t>
            </w:r>
          </w:p>
        </w:tc>
      </w:tr>
      <w:tr>
        <w:tc>
          <w:tcPr>
            <w:tcW w:type="dxa" w:w="4464"/>
          </w:tcPr>
          <w:p>
            <w:pPr>
              <w:jc w:val="left"/>
            </w:pPr>
            <w:r>
              <w:rPr>
                <w:rFonts w:ascii="Times New Roman" w:hAnsi="Times New Roman" w:cs="Times New Roman"/>
                <w:b w:val="0"/>
                <w:i w:val="0"/>
                <w:color w:val="1E293B"/>
                <w:sz w:val="19"/>
              </w:rPr>
              <w:t>Synthetic scenario simulation (SIM-EML-001 to 007)</w:t>
            </w:r>
          </w:p>
        </w:tc>
        <w:tc>
          <w:tcPr>
            <w:tcW w:type="dxa" w:w="4464"/>
          </w:tcPr>
          <w:p>
            <w:pPr>
              <w:jc w:val="left"/>
            </w:pPr>
            <w:r>
              <w:rPr>
                <w:rFonts w:ascii="Times New Roman" w:hAnsi="Times New Roman" w:cs="Times New Roman"/>
                <w:b w:val="0"/>
                <w:i w:val="0"/>
                <w:color w:val="1E293B"/>
                <w:sz w:val="19"/>
              </w:rPr>
              <w:t>Real corporate email inbox interception &amp; IMAP hooks</w:t>
            </w:r>
          </w:p>
        </w:tc>
      </w:tr>
      <w:tr>
        <w:tc>
          <w:tcPr>
            <w:tcW w:type="dxa" w:w="4464"/>
          </w:tcPr>
          <w:p>
            <w:pPr>
              <w:jc w:val="left"/>
            </w:pPr>
            <w:r>
              <w:rPr>
                <w:rFonts w:ascii="Times New Roman" w:hAnsi="Times New Roman" w:cs="Times New Roman"/>
                <w:b w:val="0"/>
                <w:i w:val="0"/>
                <w:color w:val="1E293B"/>
                <w:sz w:val="19"/>
              </w:rPr>
              <w:t>4 employee psychological behavioral profiles</w:t>
            </w:r>
          </w:p>
        </w:tc>
        <w:tc>
          <w:tcPr>
            <w:tcW w:type="dxa" w:w="4464"/>
          </w:tcPr>
          <w:p>
            <w:pPr>
              <w:jc w:val="left"/>
            </w:pPr>
            <w:r>
              <w:rPr>
                <w:rFonts w:ascii="Times New Roman" w:hAnsi="Times New Roman" w:cs="Times New Roman"/>
                <w:b w:val="0"/>
                <w:i w:val="0"/>
                <w:color w:val="1E293B"/>
                <w:sz w:val="19"/>
              </w:rPr>
              <w:t>Production Microsoft 365 / Google Workspace tenant APIs</w:t>
            </w:r>
          </w:p>
        </w:tc>
      </w:tr>
      <w:tr>
        <w:tc>
          <w:tcPr>
            <w:tcW w:type="dxa" w:w="4464"/>
          </w:tcPr>
          <w:p>
            <w:pPr>
              <w:jc w:val="left"/>
            </w:pPr>
            <w:r>
              <w:rPr>
                <w:rFonts w:ascii="Times New Roman" w:hAnsi="Times New Roman" w:cs="Times New Roman"/>
                <w:b w:val="0"/>
                <w:i w:val="0"/>
                <w:color w:val="1E293B"/>
                <w:sz w:val="19"/>
              </w:rPr>
              <w:t>Google GenAI SDK streaming reasoning &amp; decision parsing</w:t>
            </w:r>
          </w:p>
        </w:tc>
        <w:tc>
          <w:tcPr>
            <w:tcW w:type="dxa" w:w="4464"/>
          </w:tcPr>
          <w:p>
            <w:pPr>
              <w:jc w:val="left"/>
            </w:pPr>
            <w:r>
              <w:rPr>
                <w:rFonts w:ascii="Times New Roman" w:hAnsi="Times New Roman" w:cs="Times New Roman"/>
                <w:b w:val="0"/>
                <w:i w:val="0"/>
                <w:color w:val="1E293B"/>
                <w:sz w:val="19"/>
              </w:rPr>
              <w:t>Local quantized LLM self-hosting (Ollama / vLLM)</w:t>
            </w:r>
          </w:p>
        </w:tc>
      </w:tr>
      <w:tr>
        <w:tc>
          <w:tcPr>
            <w:tcW w:type="dxa" w:w="4464"/>
          </w:tcPr>
          <w:p>
            <w:pPr>
              <w:jc w:val="left"/>
            </w:pPr>
            <w:r>
              <w:rPr>
                <w:rFonts w:ascii="Times New Roman" w:hAnsi="Times New Roman" w:cs="Times New Roman"/>
                <w:b w:val="0"/>
                <w:i w:val="0"/>
                <w:color w:val="1E293B"/>
                <w:sz w:val="19"/>
              </w:rPr>
              <w:t>Multi-agent RiskEngine (40% Sem / 25% Beh / 35% URL)</w:t>
            </w:r>
          </w:p>
        </w:tc>
        <w:tc>
          <w:tcPr>
            <w:tcW w:type="dxa" w:w="4464"/>
          </w:tcPr>
          <w:p>
            <w:pPr>
              <w:jc w:val="left"/>
            </w:pPr>
            <w:r>
              <w:rPr>
                <w:rFonts w:ascii="Times New Roman" w:hAnsi="Times New Roman" w:cs="Times New Roman"/>
                <w:b w:val="0"/>
                <w:i w:val="0"/>
                <w:color w:val="1E293B"/>
                <w:sz w:val="19"/>
              </w:rPr>
              <w:t>Machine learning network flow anomaly detection</w:t>
            </w:r>
          </w:p>
        </w:tc>
      </w:tr>
      <w:tr>
        <w:tc>
          <w:tcPr>
            <w:tcW w:type="dxa" w:w="4464"/>
          </w:tcPr>
          <w:p>
            <w:pPr>
              <w:jc w:val="left"/>
            </w:pPr>
            <w:r>
              <w:rPr>
                <w:rFonts w:ascii="Times New Roman" w:hAnsi="Times New Roman" w:cs="Times New Roman"/>
                <w:b w:val="0"/>
                <w:i w:val="0"/>
                <w:color w:val="1E293B"/>
                <w:sz w:val="19"/>
              </w:rPr>
              <w:t>Incident management with MITRE ATT&amp;CK technique tags</w:t>
            </w:r>
          </w:p>
        </w:tc>
        <w:tc>
          <w:tcPr>
            <w:tcW w:type="dxa" w:w="4464"/>
          </w:tcPr>
          <w:p>
            <w:pPr>
              <w:jc w:val="left"/>
            </w:pPr>
            <w:r>
              <w:rPr>
                <w:rFonts w:ascii="Times New Roman" w:hAnsi="Times New Roman" w:cs="Times New Roman"/>
                <w:b w:val="0"/>
                <w:i w:val="0"/>
                <w:color w:val="1E293B"/>
                <w:sz w:val="19"/>
              </w:rPr>
              <w:t>Active firewall / perimeter network blocking enforcement</w:t>
            </w:r>
          </w:p>
        </w:tc>
      </w:tr>
      <w:tr>
        <w:tc>
          <w:tcPr>
            <w:tcW w:type="dxa" w:w="4464"/>
          </w:tcPr>
          <w:p>
            <w:pPr>
              <w:jc w:val="left"/>
            </w:pPr>
            <w:r>
              <w:rPr>
                <w:rFonts w:ascii="Times New Roman" w:hAnsi="Times New Roman" w:cs="Times New Roman"/>
                <w:b w:val="0"/>
                <w:i w:val="0"/>
                <w:color w:val="1E293B"/>
                <w:sz w:val="19"/>
              </w:rPr>
              <w:t>Threat intelligence engine with 5 plugins &amp; mock fallback</w:t>
            </w:r>
          </w:p>
        </w:tc>
        <w:tc>
          <w:tcPr>
            <w:tcW w:type="dxa" w:w="4464"/>
          </w:tcPr>
          <w:p>
            <w:pPr>
              <w:jc w:val="left"/>
            </w:pPr>
            <w:r>
              <w:rPr>
                <w:rFonts w:ascii="Times New Roman" w:hAnsi="Times New Roman" w:cs="Times New Roman"/>
                <w:b w:val="0"/>
                <w:i w:val="0"/>
                <w:color w:val="1E293B"/>
                <w:sz w:val="19"/>
              </w:rPr>
              <w:t>Commercial SIEM forwarding (Splunk / QRadar Syslog)</w:t>
            </w:r>
          </w:p>
        </w:tc>
      </w:tr>
      <w:tr>
        <w:tc>
          <w:tcPr>
            <w:tcW w:type="dxa" w:w="4464"/>
          </w:tcPr>
          <w:p>
            <w:pPr>
              <w:jc w:val="left"/>
            </w:pPr>
            <w:r>
              <w:rPr>
                <w:rFonts w:ascii="Times New Roman" w:hAnsi="Times New Roman" w:cs="Times New Roman"/>
                <w:b w:val="0"/>
                <w:i w:val="0"/>
                <w:color w:val="1E293B"/>
                <w:sz w:val="19"/>
              </w:rPr>
              <w:t>5-channel WebSocket real-time telemetry broadcaster</w:t>
            </w:r>
          </w:p>
        </w:tc>
        <w:tc>
          <w:tcPr>
            <w:tcW w:type="dxa" w:w="4464"/>
          </w:tcPr>
          <w:p>
            <w:pPr>
              <w:jc w:val="left"/>
            </w:pPr>
            <w:r>
              <w:rPr>
                <w:rFonts w:ascii="Times New Roman" w:hAnsi="Times New Roman" w:cs="Times New Roman"/>
                <w:b w:val="0"/>
                <w:i w:val="0"/>
                <w:color w:val="1E293B"/>
                <w:sz w:val="19"/>
              </w:rPr>
              <w:t>Multi-tenant enterprise workspaces &amp; hardware MFA</w:t>
            </w:r>
          </w:p>
        </w:tc>
      </w:tr>
      <w:tr>
        <w:tc>
          <w:tcPr>
            <w:tcW w:type="dxa" w:w="4464"/>
          </w:tcPr>
          <w:p>
            <w:pPr>
              <w:jc w:val="left"/>
            </w:pPr>
            <w:r>
              <w:rPr>
                <w:rFonts w:ascii="Times New Roman" w:hAnsi="Times New Roman" w:cs="Times New Roman"/>
                <w:b w:val="0"/>
                <w:i w:val="0"/>
                <w:color w:val="1E293B"/>
                <w:sz w:val="19"/>
              </w:rPr>
              <w:t>Multi-format export (JSON, Markdown, CSV, STIX 2.1)</w:t>
            </w:r>
          </w:p>
        </w:tc>
        <w:tc>
          <w:tcPr>
            <w:tcW w:type="dxa" w:w="4464"/>
          </w:tcPr>
          <w:p>
            <w:pPr>
              <w:jc w:val="left"/>
            </w:pPr>
            <w:r>
              <w:rPr>
                <w:rFonts w:ascii="Times New Roman" w:hAnsi="Times New Roman" w:cs="Times New Roman"/>
                <w:b w:val="0"/>
                <w:i w:val="0"/>
                <w:color w:val="1E293B"/>
                <w:sz w:val="19"/>
              </w:rPr>
              <w:t>Direct server-side headless PDF report compilation</w:t>
            </w:r>
          </w:p>
        </w:tc>
      </w:tr>
      <w:tr>
        <w:tc>
          <w:tcPr>
            <w:tcW w:type="dxa" w:w="4464"/>
          </w:tcPr>
          <w:p>
            <w:pPr>
              <w:jc w:val="left"/>
            </w:pPr>
            <w:r>
              <w:rPr>
                <w:rFonts w:ascii="Times New Roman" w:hAnsi="Times New Roman" w:cs="Times New Roman"/>
                <w:b w:val="0"/>
                <w:i w:val="0"/>
                <w:color w:val="1E293B"/>
                <w:sz w:val="19"/>
              </w:rPr>
              <w:t>SQLite persistence via SQLAlchemy ORM &amp; Alembic</w:t>
            </w:r>
          </w:p>
        </w:tc>
        <w:tc>
          <w:tcPr>
            <w:tcW w:type="dxa" w:w="4464"/>
          </w:tcPr>
          <w:p>
            <w:pPr>
              <w:jc w:val="left"/>
            </w:pPr>
            <w:r>
              <w:rPr>
                <w:rFonts w:ascii="Times New Roman" w:hAnsi="Times New Roman" w:cs="Times New Roman"/>
                <w:b w:val="0"/>
                <w:i w:val="0"/>
                <w:color w:val="1E293B"/>
                <w:sz w:val="19"/>
              </w:rPr>
              <w:t>Enterprise PostgreSQL high-availability database cluster</w:t>
            </w:r>
          </w:p>
        </w:tc>
      </w:tr>
      <w:tr>
        <w:tc>
          <w:tcPr>
            <w:tcW w:type="dxa" w:w="4464"/>
          </w:tcPr>
          <w:p>
            <w:pPr>
              <w:jc w:val="left"/>
            </w:pPr>
            <w:r>
              <w:rPr>
                <w:rFonts w:ascii="Times New Roman" w:hAnsi="Times New Roman" w:cs="Times New Roman"/>
                <w:b w:val="0"/>
                <w:i w:val="0"/>
                <w:color w:val="1E293B"/>
                <w:sz w:val="19"/>
              </w:rPr>
              <w:t>Vite + React 18 single-page application dashboard</w:t>
            </w:r>
          </w:p>
        </w:tc>
        <w:tc>
          <w:tcPr>
            <w:tcW w:type="dxa" w:w="4464"/>
          </w:tcPr>
          <w:p>
            <w:pPr>
              <w:jc w:val="left"/>
            </w:pPr>
            <w:r>
              <w:rPr>
                <w:rFonts w:ascii="Times New Roman" w:hAnsi="Times New Roman" w:cs="Times New Roman"/>
                <w:b w:val="0"/>
                <w:i w:val="0"/>
                <w:color w:val="1E293B"/>
                <w:sz w:val="19"/>
              </w:rPr>
              <w:t>Public cloud container orchestration (Kubernetes)</w:t>
            </w:r>
          </w:p>
        </w:tc>
      </w:tr>
    </w:tbl>
    <w:p>
      <w:pPr>
        <w:spacing w:after="140"/>
      </w:pPr>
    </w:p>
    <w:p>
      <w:pPr>
        <w:pStyle w:val="Heading1"/>
        <w:jc w:val="center"/>
        <w:pageBreakBefore/>
        <w:spacing w:before="0" w:after="60"/>
      </w:pPr>
      <w:r>
        <w:rPr>
          <w:rFonts w:ascii="Times New Roman" w:hAnsi="Times New Roman" w:cs="Times New Roman"/>
          <w:b/>
          <w:i w:val="0"/>
          <w:sz w:val="30"/>
        </w:rPr>
        <w:t>CHAPTER - 2</w:t>
      </w:r>
    </w:p>
    <w:p>
      <w:pPr>
        <w:jc w:val="center"/>
        <w:spacing w:before="0" w:after="240"/>
      </w:pPr>
      <w:r>
        <w:rPr>
          <w:rFonts w:ascii="Times New Roman" w:hAnsi="Times New Roman" w:cs="Times New Roman"/>
          <w:b/>
          <w:i w:val="0"/>
          <w:sz w:val="30"/>
        </w:rPr>
        <w:t>SYSTEM ANALYSIS</w:t>
      </w:r>
    </w:p>
    <w:p>
      <w:pPr>
        <w:pStyle w:val="Heading2"/>
        <w:jc w:val="left"/>
        <w:spacing w:before="240" w:after="120"/>
      </w:pPr>
      <w:r>
        <w:rPr>
          <w:rFonts w:ascii="Times New Roman" w:hAnsi="Times New Roman" w:cs="Times New Roman"/>
          <w:b/>
          <w:i w:val="0"/>
          <w:sz w:val="28"/>
        </w:rPr>
        <w:t>2.1 Existing System</w:t>
      </w:r>
    </w:p>
    <w:p>
      <w:pPr>
        <w:jc w:val="both"/>
        <w:spacing w:before="0" w:after="140" w:line="300" w:lineRule="auto"/>
      </w:pPr>
      <w:r>
        <w:rPr>
          <w:rFonts w:ascii="Times New Roman" w:hAnsi="Times New Roman" w:cs="Times New Roman"/>
          <w:b w:val="0"/>
          <w:i w:val="0"/>
          <w:sz w:val="24"/>
        </w:rPr>
        <w:t>Current enterprise cybersecurity operations rely on several mature but distinct software silos to defend against social engineering and email-borne intrusions. Secure Email Gateways (SEGs) filter incoming messages at the network perimeter; endpoint detection agents monitor workstation processes; Security Awareness Training platforms conduct periodic phishing tests; and SIEM platforms ingest log records for centralized search and alerting. While each technology is technically robust within its specialized domain, they operate independently, requiring security analysts to manually correlate disparate data points across separate vendor consoles.</w:t>
      </w:r>
    </w:p>
    <w:p>
      <w:pPr>
        <w:pStyle w:val="Heading3"/>
        <w:jc w:val="left"/>
        <w:spacing w:before="180" w:after="80"/>
      </w:pPr>
      <w:r>
        <w:rPr>
          <w:rFonts w:ascii="Times New Roman" w:hAnsi="Times New Roman" w:cs="Times New Roman"/>
          <w:b/>
          <w:i w:val="0"/>
          <w:sz w:val="26"/>
        </w:rPr>
        <w:t>2.1.1 Background &amp; Literature Survey</w:t>
      </w:r>
    </w:p>
    <w:p>
      <w:pPr>
        <w:jc w:val="both"/>
        <w:spacing w:before="0" w:after="140" w:line="300" w:lineRule="auto"/>
      </w:pPr>
      <w:r>
        <w:rPr>
          <w:rFonts w:ascii="Times New Roman" w:hAnsi="Times New Roman" w:cs="Times New Roman"/>
          <w:b w:val="0"/>
          <w:i w:val="0"/>
          <w:sz w:val="24"/>
        </w:rPr>
        <w:t>Security Awareness Training (SAT) Platforms: Commercial solutions such as KnowBe4, Proofpoint Security Awareness, and Cofense focus on employee education through scheduled phishing simulations. As demonstrated by Kumaraguru et al. [2] and Sheng et al. [6], embedded training significantly reduces vulnerability rates over time. However, existing platforms measure success almost exclusively through binary click telemetry (clicked versus did not click). They fail to model the intermediate cognitive stages of threat evaluation, leaving security administrators unaware of whether an employee avoided a phish due to genuine security acumen or mere coincidence.</w:t>
      </w:r>
    </w:p>
    <w:p>
      <w:pPr>
        <w:jc w:val="both"/>
        <w:spacing w:before="0" w:after="140" w:line="300" w:lineRule="auto"/>
      </w:pPr>
      <w:r>
        <w:rPr>
          <w:rFonts w:ascii="Times New Roman" w:hAnsi="Times New Roman" w:cs="Times New Roman"/>
          <w:b w:val="0"/>
          <w:i w:val="0"/>
          <w:sz w:val="24"/>
        </w:rPr>
        <w:t>Secure Email Gateways (SEGs): Enterprise gateways such as Cisco IronPort, Proofpoint Email Protection, and Mimecast inspect Simple Mail Transfer Protocol (SMTP) traffic against static blocklists, domain reputation databases, and signature sets. While highly effective against known mass-phishing campaigns, SEGs frequently fail to identify targeted spearphishing attacks that utilize freshly registered domains, zero-reputation infrastructure, and brand impersonation without traditional malware payloads, as highlighted in comprehensive threat surveys by Alkhalil et al. [3].</w:t>
      </w:r>
    </w:p>
    <w:p>
      <w:pPr>
        <w:jc w:val="both"/>
        <w:spacing w:before="0" w:after="140" w:line="300" w:lineRule="auto"/>
      </w:pPr>
      <w:r>
        <w:rPr>
          <w:rFonts w:ascii="Times New Roman" w:hAnsi="Times New Roman" w:cs="Times New Roman"/>
          <w:b w:val="0"/>
          <w:i w:val="0"/>
          <w:sz w:val="24"/>
        </w:rPr>
        <w:t>Rule-Based and Machine Learning Detection Systems: Traditional intrusion detection systems (Snort, Suricata) and spam classifiers (SpamAssassin) utilize regular expressions and Bayesian probability to identify malicious content. While transparent and explainable, these systems are vulnerable to prompt evasion, homoglyph variations, and subtle linguistic manipulations. Machine learning classifiers (e.g., Random Forests, Support Vector Machines) improve detection breadth but suffer from the classic 'closed-world assumption' identified by Sommer and Paxson [1], leading to high false-alarm rates when encountering unseen attacker pretexts.</w:t>
      </w:r>
    </w:p>
    <w:p>
      <w:pPr>
        <w:jc w:val="both"/>
        <w:spacing w:before="0" w:after="140" w:line="300" w:lineRule="auto"/>
      </w:pPr>
      <w:r>
        <w:rPr>
          <w:rFonts w:ascii="Times New Roman" w:hAnsi="Times New Roman" w:cs="Times New Roman"/>
          <w:b w:val="0"/>
          <w:i w:val="0"/>
          <w:sz w:val="24"/>
        </w:rPr>
        <w:t>Large Language Model (LLM) Cyber Defense Applications: Recent research explores the application of generative pre-trained transformers for automated email classification, vulnerability triage, and SOC alert summarization. While language models excel at natural language parsing and context extraction, unconstrained LLM deployments introduce severe risks of generative hallucination, non-deterministic scoring, and vulnerability to adversarial prompt injection. Table 2.1 provides a comparative analysis of these existing approaches alongside SemanticShield AI.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2256"/>
        <w:gridCol w:w="2256"/>
        <w:gridCol w:w="2256"/>
        <w:gridCol w:w="2256"/>
      </w:tblGrid>
      <w:tr>
        <w:tc>
          <w:tcPr>
            <w:tcW w:type="dxa" w:w="2016"/>
            <w:shd w:val="clear" w:color="auto" w:fill="D9E2F3"/>
          </w:tcPr>
          <w:p>
            <w:pPr>
              <w:jc w:val="left"/>
            </w:pPr>
            <w:r>
              <w:rPr>
                <w:rFonts w:ascii="Times New Roman" w:hAnsi="Times New Roman" w:cs="Times New Roman"/>
                <w:b/>
                <w:i w:val="0"/>
                <w:color w:val="0F172A"/>
                <w:sz w:val="20"/>
              </w:rPr>
              <w:t>System Type</w:t>
            </w:r>
          </w:p>
        </w:tc>
        <w:tc>
          <w:tcPr>
            <w:tcW w:type="dxa" w:w="2304"/>
            <w:shd w:val="clear" w:color="auto" w:fill="D9E2F3"/>
          </w:tcPr>
          <w:p>
            <w:pPr>
              <w:jc w:val="left"/>
            </w:pPr>
            <w:r>
              <w:rPr>
                <w:rFonts w:ascii="Times New Roman" w:hAnsi="Times New Roman" w:cs="Times New Roman"/>
                <w:b/>
                <w:i w:val="0"/>
                <w:color w:val="0F172A"/>
                <w:sz w:val="20"/>
              </w:rPr>
              <w:t>Primary Strength</w:t>
            </w:r>
          </w:p>
        </w:tc>
        <w:tc>
          <w:tcPr>
            <w:tcW w:type="dxa" w:w="2304"/>
            <w:shd w:val="clear" w:color="auto" w:fill="D9E2F3"/>
          </w:tcPr>
          <w:p>
            <w:pPr>
              <w:jc w:val="left"/>
            </w:pPr>
            <w:r>
              <w:rPr>
                <w:rFonts w:ascii="Times New Roman" w:hAnsi="Times New Roman" w:cs="Times New Roman"/>
                <w:b/>
                <w:i w:val="0"/>
                <w:color w:val="0F172A"/>
                <w:sz w:val="20"/>
              </w:rPr>
              <w:t>Operational Limitation</w:t>
            </w:r>
          </w:p>
        </w:tc>
        <w:tc>
          <w:tcPr>
            <w:tcW w:type="dxa" w:w="2304"/>
            <w:shd w:val="clear" w:color="auto" w:fill="D9E2F3"/>
          </w:tcPr>
          <w:p>
            <w:pPr>
              <w:jc w:val="left"/>
            </w:pPr>
            <w:r>
              <w:rPr>
                <w:rFonts w:ascii="Times New Roman" w:hAnsi="Times New Roman" w:cs="Times New Roman"/>
                <w:b/>
                <w:i w:val="0"/>
                <w:color w:val="0F172A"/>
                <w:sz w:val="20"/>
              </w:rPr>
              <w:t>SemanticShield AI Approach</w:t>
            </w:r>
          </w:p>
        </w:tc>
      </w:tr>
      <w:tr>
        <w:tc>
          <w:tcPr>
            <w:tcW w:type="dxa" w:w="2016"/>
          </w:tcPr>
          <w:p>
            <w:pPr>
              <w:jc w:val="left"/>
            </w:pPr>
            <w:r>
              <w:rPr>
                <w:rFonts w:ascii="Times New Roman" w:hAnsi="Times New Roman" w:cs="Times New Roman"/>
                <w:b w:val="0"/>
                <w:i w:val="0"/>
                <w:color w:val="1E293B"/>
                <w:sz w:val="19"/>
              </w:rPr>
              <w:t>Security Awareness Training</w:t>
            </w:r>
          </w:p>
        </w:tc>
        <w:tc>
          <w:tcPr>
            <w:tcW w:type="dxa" w:w="2304"/>
          </w:tcPr>
          <w:p>
            <w:pPr>
              <w:jc w:val="left"/>
            </w:pPr>
            <w:r>
              <w:rPr>
                <w:rFonts w:ascii="Times New Roman" w:hAnsi="Times New Roman" w:cs="Times New Roman"/>
                <w:b w:val="0"/>
                <w:i w:val="0"/>
                <w:color w:val="1E293B"/>
                <w:sz w:val="19"/>
              </w:rPr>
              <w:t>Educational focus; employee baseline benchmarking</w:t>
            </w:r>
          </w:p>
        </w:tc>
        <w:tc>
          <w:tcPr>
            <w:tcW w:type="dxa" w:w="2304"/>
          </w:tcPr>
          <w:p>
            <w:pPr>
              <w:jc w:val="left"/>
            </w:pPr>
            <w:r>
              <w:rPr>
                <w:rFonts w:ascii="Times New Roman" w:hAnsi="Times New Roman" w:cs="Times New Roman"/>
                <w:b w:val="0"/>
                <w:i w:val="0"/>
                <w:color w:val="1E293B"/>
                <w:sz w:val="19"/>
              </w:rPr>
              <w:t>Binary click tracking; no cognitive reasoning insight</w:t>
            </w:r>
          </w:p>
        </w:tc>
        <w:tc>
          <w:tcPr>
            <w:tcW w:type="dxa" w:w="2304"/>
          </w:tcPr>
          <w:p>
            <w:pPr>
              <w:jc w:val="left"/>
            </w:pPr>
            <w:r>
              <w:rPr>
                <w:rFonts w:ascii="Times New Roman" w:hAnsi="Times New Roman" w:cs="Times New Roman"/>
                <w:b w:val="0"/>
                <w:i w:val="0"/>
                <w:color w:val="1E293B"/>
                <w:sz w:val="19"/>
              </w:rPr>
              <w:t>Psychological persona modeling with streamed reasoning</w:t>
            </w:r>
          </w:p>
        </w:tc>
      </w:tr>
      <w:tr>
        <w:tc>
          <w:tcPr>
            <w:tcW w:type="dxa" w:w="2016"/>
          </w:tcPr>
          <w:p>
            <w:pPr>
              <w:jc w:val="left"/>
            </w:pPr>
            <w:r>
              <w:rPr>
                <w:rFonts w:ascii="Times New Roman" w:hAnsi="Times New Roman" w:cs="Times New Roman"/>
                <w:b w:val="0"/>
                <w:i w:val="0"/>
                <w:color w:val="1E293B"/>
                <w:sz w:val="19"/>
              </w:rPr>
              <w:t>Secure Email Gateways</w:t>
            </w:r>
          </w:p>
        </w:tc>
        <w:tc>
          <w:tcPr>
            <w:tcW w:type="dxa" w:w="2304"/>
          </w:tcPr>
          <w:p>
            <w:pPr>
              <w:jc w:val="left"/>
            </w:pPr>
            <w:r>
              <w:rPr>
                <w:rFonts w:ascii="Times New Roman" w:hAnsi="Times New Roman" w:cs="Times New Roman"/>
                <w:b w:val="0"/>
                <w:i w:val="0"/>
                <w:color w:val="1E293B"/>
                <w:sz w:val="19"/>
              </w:rPr>
              <w:t>High-throughput perimeter email filtering</w:t>
            </w:r>
          </w:p>
        </w:tc>
        <w:tc>
          <w:tcPr>
            <w:tcW w:type="dxa" w:w="2304"/>
          </w:tcPr>
          <w:p>
            <w:pPr>
              <w:jc w:val="left"/>
            </w:pPr>
            <w:r>
              <w:rPr>
                <w:rFonts w:ascii="Times New Roman" w:hAnsi="Times New Roman" w:cs="Times New Roman"/>
                <w:b w:val="0"/>
                <w:i w:val="0"/>
                <w:color w:val="1E293B"/>
                <w:sz w:val="19"/>
              </w:rPr>
              <w:t>Blind to zero-day domains and text-only pretexting</w:t>
            </w:r>
          </w:p>
        </w:tc>
        <w:tc>
          <w:tcPr>
            <w:tcW w:type="dxa" w:w="2304"/>
          </w:tcPr>
          <w:p>
            <w:pPr>
              <w:jc w:val="left"/>
            </w:pPr>
            <w:r>
              <w:rPr>
                <w:rFonts w:ascii="Times New Roman" w:hAnsi="Times New Roman" w:cs="Times New Roman"/>
                <w:b w:val="0"/>
                <w:i w:val="0"/>
                <w:color w:val="1E293B"/>
                <w:sz w:val="19"/>
              </w:rPr>
              <w:t>Deep semantic NLP and homoglyph heuristic inspection</w:t>
            </w:r>
          </w:p>
        </w:tc>
      </w:tr>
      <w:tr>
        <w:tc>
          <w:tcPr>
            <w:tcW w:type="dxa" w:w="2016"/>
          </w:tcPr>
          <w:p>
            <w:pPr>
              <w:jc w:val="left"/>
            </w:pPr>
            <w:r>
              <w:rPr>
                <w:rFonts w:ascii="Times New Roman" w:hAnsi="Times New Roman" w:cs="Times New Roman"/>
                <w:b w:val="0"/>
                <w:i w:val="0"/>
                <w:color w:val="1E293B"/>
                <w:sz w:val="19"/>
              </w:rPr>
              <w:t>Rule-Based &amp; ML Detectors</w:t>
            </w:r>
          </w:p>
        </w:tc>
        <w:tc>
          <w:tcPr>
            <w:tcW w:type="dxa" w:w="2304"/>
          </w:tcPr>
          <w:p>
            <w:pPr>
              <w:jc w:val="left"/>
            </w:pPr>
            <w:r>
              <w:rPr>
                <w:rFonts w:ascii="Times New Roman" w:hAnsi="Times New Roman" w:cs="Times New Roman"/>
                <w:b w:val="0"/>
                <w:i w:val="0"/>
                <w:color w:val="1E293B"/>
                <w:sz w:val="19"/>
              </w:rPr>
              <w:t>Deterministic execution; high speed on known rules</w:t>
            </w:r>
          </w:p>
        </w:tc>
        <w:tc>
          <w:tcPr>
            <w:tcW w:type="dxa" w:w="2304"/>
          </w:tcPr>
          <w:p>
            <w:pPr>
              <w:jc w:val="left"/>
            </w:pPr>
            <w:r>
              <w:rPr>
                <w:rFonts w:ascii="Times New Roman" w:hAnsi="Times New Roman" w:cs="Times New Roman"/>
                <w:b w:val="0"/>
                <w:i w:val="0"/>
                <w:color w:val="1E293B"/>
                <w:sz w:val="19"/>
              </w:rPr>
              <w:t>Fragile against evasion; high false positive rates</w:t>
            </w:r>
          </w:p>
        </w:tc>
        <w:tc>
          <w:tcPr>
            <w:tcW w:type="dxa" w:w="2304"/>
          </w:tcPr>
          <w:p>
            <w:pPr>
              <w:jc w:val="left"/>
            </w:pPr>
            <w:r>
              <w:rPr>
                <w:rFonts w:ascii="Times New Roman" w:hAnsi="Times New Roman" w:cs="Times New Roman"/>
                <w:b w:val="0"/>
                <w:i w:val="0"/>
                <w:color w:val="1E293B"/>
                <w:sz w:val="19"/>
              </w:rPr>
              <w:t>Multi-agent architecture with security floor overrides</w:t>
            </w:r>
          </w:p>
        </w:tc>
      </w:tr>
      <w:tr>
        <w:tc>
          <w:tcPr>
            <w:tcW w:type="dxa" w:w="2016"/>
          </w:tcPr>
          <w:p>
            <w:pPr>
              <w:jc w:val="left"/>
            </w:pPr>
            <w:r>
              <w:rPr>
                <w:rFonts w:ascii="Times New Roman" w:hAnsi="Times New Roman" w:cs="Times New Roman"/>
                <w:b w:val="0"/>
                <w:i w:val="0"/>
                <w:color w:val="1E293B"/>
                <w:sz w:val="19"/>
              </w:rPr>
              <w:t>Generic AI Chatbots</w:t>
            </w:r>
          </w:p>
        </w:tc>
        <w:tc>
          <w:tcPr>
            <w:tcW w:type="dxa" w:w="2304"/>
          </w:tcPr>
          <w:p>
            <w:pPr>
              <w:jc w:val="left"/>
            </w:pPr>
            <w:r>
              <w:rPr>
                <w:rFonts w:ascii="Times New Roman" w:hAnsi="Times New Roman" w:cs="Times New Roman"/>
                <w:b w:val="0"/>
                <w:i w:val="0"/>
                <w:color w:val="1E293B"/>
                <w:sz w:val="19"/>
              </w:rPr>
              <w:t>Flexible natural language explanation generation</w:t>
            </w:r>
          </w:p>
        </w:tc>
        <w:tc>
          <w:tcPr>
            <w:tcW w:type="dxa" w:w="2304"/>
          </w:tcPr>
          <w:p>
            <w:pPr>
              <w:jc w:val="left"/>
            </w:pPr>
            <w:r>
              <w:rPr>
                <w:rFonts w:ascii="Times New Roman" w:hAnsi="Times New Roman" w:cs="Times New Roman"/>
                <w:b w:val="0"/>
                <w:i w:val="0"/>
                <w:color w:val="1E293B"/>
                <w:sz w:val="19"/>
              </w:rPr>
              <w:t>Severe hallucination risk; non-deterministic scores</w:t>
            </w:r>
          </w:p>
        </w:tc>
        <w:tc>
          <w:tcPr>
            <w:tcW w:type="dxa" w:w="2304"/>
          </w:tcPr>
          <w:p>
            <w:pPr>
              <w:jc w:val="left"/>
            </w:pPr>
            <w:r>
              <w:rPr>
                <w:rFonts w:ascii="Times New Roman" w:hAnsi="Times New Roman" w:cs="Times New Roman"/>
                <w:b w:val="0"/>
                <w:i w:val="0"/>
                <w:color w:val="1E293B"/>
                <w:sz w:val="19"/>
              </w:rPr>
              <w:t>Strict code-governed risk scoring; AI used for simulation</w:t>
            </w:r>
          </w:p>
        </w:tc>
      </w:tr>
      <w:tr>
        <w:tc>
          <w:tcPr>
            <w:tcW w:type="dxa" w:w="2016"/>
          </w:tcPr>
          <w:p>
            <w:pPr>
              <w:jc w:val="left"/>
            </w:pPr>
            <w:r>
              <w:rPr>
                <w:rFonts w:ascii="Times New Roman" w:hAnsi="Times New Roman" w:cs="Times New Roman"/>
                <w:b w:val="0"/>
                <w:i w:val="0"/>
                <w:color w:val="1E293B"/>
                <w:sz w:val="19"/>
              </w:rPr>
              <w:t>Enterprise SIEM Platforms</w:t>
            </w:r>
          </w:p>
        </w:tc>
        <w:tc>
          <w:tcPr>
            <w:tcW w:type="dxa" w:w="2304"/>
          </w:tcPr>
          <w:p>
            <w:pPr>
              <w:jc w:val="left"/>
            </w:pPr>
            <w:r>
              <w:rPr>
                <w:rFonts w:ascii="Times New Roman" w:hAnsi="Times New Roman" w:cs="Times New Roman"/>
                <w:b w:val="0"/>
                <w:i w:val="0"/>
                <w:color w:val="1E293B"/>
                <w:sz w:val="19"/>
              </w:rPr>
              <w:t>Centralized cross-source log correlation</w:t>
            </w:r>
          </w:p>
        </w:tc>
        <w:tc>
          <w:tcPr>
            <w:tcW w:type="dxa" w:w="2304"/>
          </w:tcPr>
          <w:p>
            <w:pPr>
              <w:jc w:val="left"/>
            </w:pPr>
            <w:r>
              <w:rPr>
                <w:rFonts w:ascii="Times New Roman" w:hAnsi="Times New Roman" w:cs="Times New Roman"/>
                <w:b w:val="0"/>
                <w:i w:val="0"/>
                <w:color w:val="1E293B"/>
                <w:sz w:val="19"/>
              </w:rPr>
              <w:t>High deployment cost; complex query languages</w:t>
            </w:r>
          </w:p>
        </w:tc>
        <w:tc>
          <w:tcPr>
            <w:tcW w:type="dxa" w:w="2304"/>
          </w:tcPr>
          <w:p>
            <w:pPr>
              <w:jc w:val="left"/>
            </w:pPr>
            <w:r>
              <w:rPr>
                <w:rFonts w:ascii="Times New Roman" w:hAnsi="Times New Roman" w:cs="Times New Roman"/>
                <w:b w:val="0"/>
                <w:i w:val="0"/>
                <w:color w:val="1E293B"/>
                <w:sz w:val="19"/>
              </w:rPr>
              <w:t>Integrated, lightweight SOC workflow runnable locally</w:t>
            </w:r>
          </w:p>
        </w:tc>
      </w:tr>
    </w:tbl>
    <w:p>
      <w:pPr>
        <w:spacing w:after="140"/>
      </w:pPr>
    </w:p>
    <w:p>
      <w:pPr>
        <w:pStyle w:val="Heading3"/>
        <w:jc w:val="left"/>
        <w:spacing w:before="180" w:after="80"/>
      </w:pPr>
      <w:r>
        <w:rPr>
          <w:rFonts w:ascii="Times New Roman" w:hAnsi="Times New Roman" w:cs="Times New Roman"/>
          <w:b/>
          <w:i w:val="0"/>
          <w:sz w:val="26"/>
        </w:rPr>
        <w:t>2.1.2 Limitations of Existing System</w:t>
      </w:r>
    </w:p>
    <w:p>
      <w:pPr>
        <w:jc w:val="both"/>
        <w:spacing w:before="0" w:after="140" w:line="300" w:lineRule="auto"/>
      </w:pPr>
      <w:r>
        <w:rPr>
          <w:rFonts w:ascii="Times New Roman" w:hAnsi="Times New Roman" w:cs="Times New Roman"/>
          <w:b w:val="0"/>
          <w:i w:val="0"/>
          <w:sz w:val="24"/>
        </w:rPr>
        <w:t>The analysis of existing cyber defense and simulation technologies reveals five principal structural shortcomings: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Absence of Behavioral Cognitive Modeling: </w:t>
      </w:r>
      <w:r>
        <w:rPr>
          <w:rFonts w:ascii="Times New Roman" w:hAnsi="Times New Roman" w:cs="Times New Roman"/>
          <w:b w:val="0"/>
          <w:i w:val="0"/>
          <w:sz w:val="23"/>
        </w:rPr>
        <w:t>Existing systems treat the human recipient as a passive black box, ignoring established principles of behavioral psychology (Cialdini [4], Downs et al. [7], Vishwanath et al. [8]) regarding how stress, authority bias, and role-specific demands dictate threat susceptibility.</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Static and Rigid Threat Libraries: </w:t>
      </w:r>
      <w:r>
        <w:rPr>
          <w:rFonts w:ascii="Times New Roman" w:hAnsi="Times New Roman" w:cs="Times New Roman"/>
          <w:b w:val="0"/>
          <w:i w:val="0"/>
          <w:sz w:val="23"/>
        </w:rPr>
        <w:t>Phishing scenarios remain static and quickly become obsolete, failing to reflect modern attacker pretexts such as QR code phishing (quishing), multi-factor authentication fatigue, and executive impersonation.</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Siloed Operational Workflows: </w:t>
      </w:r>
      <w:r>
        <w:rPr>
          <w:rFonts w:ascii="Times New Roman" w:hAnsi="Times New Roman" w:cs="Times New Roman"/>
          <w:b w:val="0"/>
          <w:i w:val="0"/>
          <w:sz w:val="23"/>
        </w:rPr>
        <w:t>Offensive awareness metrics are never ingested into defensive SOC triage feeds, leaving security operations teams blind to internal high-risk personnel who require elevated monitoring.</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Unreliable Generative Scorers: </w:t>
      </w:r>
      <w:r>
        <w:rPr>
          <w:rFonts w:ascii="Times New Roman" w:hAnsi="Times New Roman" w:cs="Times New Roman"/>
          <w:b w:val="0"/>
          <w:i w:val="0"/>
          <w:sz w:val="23"/>
        </w:rPr>
        <w:t>Experimental tools that rely on language models to directly generate numeric threat scores exhibit high variance and hallucination, rendering their metrics unviable for compliance audits.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High Cost and Prohibitive Complexity: </w:t>
      </w:r>
      <w:r>
        <w:rPr>
          <w:rFonts w:ascii="Times New Roman" w:hAnsi="Times New Roman" w:cs="Times New Roman"/>
          <w:b w:val="0"/>
          <w:i w:val="0"/>
          <w:sz w:val="23"/>
        </w:rPr>
        <w:t>Commercial platforms require dedicated multi-server infrastructure, recurring subscription fees, and enterprise database administration, placing comprehensive SOC simulation out of reach for academic institutions.</w:t>
      </w:r>
    </w:p>
    <w:p>
      <w:pPr>
        <w:pStyle w:val="Heading2"/>
        <w:jc w:val="left"/>
        <w:spacing w:before="240" w:after="120"/>
      </w:pPr>
      <w:r>
        <w:rPr>
          <w:rFonts w:ascii="Times New Roman" w:hAnsi="Times New Roman" w:cs="Times New Roman"/>
          <w:b/>
          <w:i w:val="0"/>
          <w:sz w:val="28"/>
        </w:rPr>
        <w:t>2.2 Proposed System</w:t>
      </w:r>
    </w:p>
    <w:p>
      <w:pPr>
        <w:jc w:val="both"/>
        <w:spacing w:before="0" w:after="140" w:line="300" w:lineRule="auto"/>
      </w:pPr>
      <w:r>
        <w:rPr>
          <w:rFonts w:ascii="Times New Roman" w:hAnsi="Times New Roman" w:cs="Times New Roman"/>
          <w:b w:val="0"/>
          <w:i w:val="0"/>
          <w:sz w:val="24"/>
        </w:rPr>
        <w:t>The proposed system, SemanticShield AI, is an intelligent agentic platform that unifies offensive behavioral phishing simulation with defensive threat analysis and SOC incident triage. By deploying an autonomous LLM-powered employee persona sandbox alongside a deterministic multi-agent risk assessment engine, SemanticShield AI provides security analysts with complete end-to-end visibility into the lifecycle of social engineering threats.</w:t>
      </w:r>
    </w:p>
    <w:p>
      <w:pPr>
        <w:jc w:val="both"/>
        <w:spacing w:before="0" w:after="140" w:line="300" w:lineRule="auto"/>
      </w:pPr>
      <w:r>
        <w:rPr>
          <w:rFonts w:ascii="Times New Roman" w:hAnsi="Times New Roman" w:cs="Times New Roman"/>
          <w:b w:val="0"/>
          <w:i w:val="0"/>
          <w:sz w:val="24"/>
        </w:rPr>
        <w:t>The platform ingests suspicious artifacts (MIME emails, phishing URLs, text pretexts) or triggers synthetic simulations from a pre-configured catalog. The simulation engine selects the appropriate behavioral prompt, executes a streamed inference session via the Google GenAI SDK, and extracts the employee's explicit decision. Simultaneously, the threat analysis pipeline extracts Indicators of Compromise (IoCs), evaluates URL heuristics, retrieves multi-provider threat intelligence, and calculates a composite risk score using code-governed weighted rules. Incidents are automatically logged, enriched with MITRE ATT&amp;CK tags, and broadcast in real time across WebSocket channels to a reactive React dashboard.</w:t>
      </w:r>
    </w:p>
    <w:p>
      <w:pPr>
        <w:pStyle w:val="Heading3"/>
        <w:jc w:val="left"/>
        <w:spacing w:before="180" w:after="80"/>
      </w:pPr>
      <w:r>
        <w:rPr>
          <w:rFonts w:ascii="Times New Roman" w:hAnsi="Times New Roman" w:cs="Times New Roman"/>
          <w:b/>
          <w:i w:val="0"/>
          <w:sz w:val="26"/>
        </w:rPr>
        <w:t>2.2.1 Advantages of Proposed System</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Cognitive Realism via Behavioral Profiling: </w:t>
      </w:r>
      <w:r>
        <w:rPr>
          <w:rFonts w:ascii="Times New Roman" w:hAnsi="Times New Roman" w:cs="Times New Roman"/>
          <w:b w:val="0"/>
          <w:i w:val="0"/>
          <w:sz w:val="23"/>
        </w:rPr>
        <w:t>Simulates realistic human decision-making across distinct organizational roles, revealing how differing operational pressures influence threat susceptibility.</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Guaranteed Score Explainability and Determinism: </w:t>
      </w:r>
      <w:r>
        <w:rPr>
          <w:rFonts w:ascii="Times New Roman" w:hAnsi="Times New Roman" w:cs="Times New Roman"/>
          <w:b w:val="0"/>
          <w:i w:val="0"/>
          <w:sz w:val="23"/>
        </w:rPr>
        <w:t>Generative AI is strictly confined to employee role-play and diagnostic narrative; enterprise risk scores are calculated by deterministic Python algorithms, eliminating hallucination.</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Unified Offensive-Defensive Lifecycle: </w:t>
      </w:r>
      <w:r>
        <w:rPr>
          <w:rFonts w:ascii="Times New Roman" w:hAnsi="Times New Roman" w:cs="Times New Roman"/>
          <w:b w:val="0"/>
          <w:i w:val="0"/>
          <w:sz w:val="23"/>
        </w:rPr>
        <w:t>Seamlessly connects simulation generation, behavioral response, threat analysis, incident correlation, and reporting into a single operational interface.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Real-Time Event Broadcast: </w:t>
      </w:r>
      <w:r>
        <w:rPr>
          <w:rFonts w:ascii="Times New Roman" w:hAnsi="Times New Roman" w:cs="Times New Roman"/>
          <w:b w:val="0"/>
          <w:i w:val="0"/>
          <w:sz w:val="23"/>
        </w:rPr>
        <w:t>Asynchronous WebSocket channels push live simulation updates, threat detections, and incident state changes to connected dashboards without page reloads.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Resilient Architecture with Mock Fallback: </w:t>
      </w:r>
      <w:r>
        <w:rPr>
          <w:rFonts w:ascii="Times New Roman" w:hAnsi="Times New Roman" w:cs="Times New Roman"/>
          <w:b w:val="0"/>
          <w:i w:val="0"/>
          <w:sz w:val="23"/>
        </w:rPr>
        <w:t>Integrated caching and deterministic mock fallbacks ensure the threat intelligence pipeline remains fully operational even when external APIs experience network outages or rate limits.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Standardized Threat Telemetry &amp; STIX 2.1 Export: </w:t>
      </w:r>
      <w:r>
        <w:rPr>
          <w:rFonts w:ascii="Times New Roman" w:hAnsi="Times New Roman" w:cs="Times New Roman"/>
          <w:b w:val="0"/>
          <w:i w:val="0"/>
          <w:sz w:val="23"/>
        </w:rPr>
        <w:t>Converts technical findings into standardized formats, including STIX 2.1 cyber threat intelligence packages, Markdown briefings, and CSV audit logs.</w:t>
      </w:r>
    </w:p>
    <w:p>
      <w:pPr>
        <w:pStyle w:val="Heading2"/>
        <w:jc w:val="left"/>
        <w:spacing w:before="240" w:after="120"/>
      </w:pPr>
      <w:r>
        <w:rPr>
          <w:rFonts w:ascii="Times New Roman" w:hAnsi="Times New Roman" w:cs="Times New Roman"/>
          <w:b/>
          <w:i w:val="0"/>
          <w:sz w:val="28"/>
        </w:rPr>
        <w:t>2.3 Software &amp; Hardware Requirements</w:t>
      </w:r>
    </w:p>
    <w:p>
      <w:pPr>
        <w:pStyle w:val="Heading3"/>
        <w:jc w:val="left"/>
        <w:spacing w:before="180" w:after="80"/>
      </w:pPr>
      <w:r>
        <w:rPr>
          <w:rFonts w:ascii="Times New Roman" w:hAnsi="Times New Roman" w:cs="Times New Roman"/>
          <w:b/>
          <w:i w:val="0"/>
          <w:sz w:val="26"/>
        </w:rPr>
        <w:t>2.3.1 Software Requirements</w:t>
      </w:r>
    </w:p>
    <w:p>
      <w:pPr>
        <w:jc w:val="both"/>
        <w:spacing w:before="0" w:after="140" w:line="300" w:lineRule="auto"/>
      </w:pPr>
      <w:r>
        <w:rPr>
          <w:rFonts w:ascii="Times New Roman" w:hAnsi="Times New Roman" w:cs="Times New Roman"/>
          <w:b w:val="0"/>
          <w:i w:val="0"/>
          <w:sz w:val="24"/>
        </w:rPr>
        <w:t>SemanticShield AI is constructed entirely with open-source frameworks and widely accessible software dependencies. Table 2.2 specifies the complete software environment derived directly from the project repository.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3009"/>
        <w:gridCol w:w="3009"/>
        <w:gridCol w:w="3009"/>
      </w:tblGrid>
      <w:tr>
        <w:tc>
          <w:tcPr>
            <w:tcW w:type="dxa" w:w="2160"/>
            <w:shd w:val="clear" w:color="auto" w:fill="D9E2F3"/>
          </w:tcPr>
          <w:p>
            <w:pPr>
              <w:jc w:val="left"/>
            </w:pPr>
            <w:r>
              <w:rPr>
                <w:rFonts w:ascii="Times New Roman" w:hAnsi="Times New Roman" w:cs="Times New Roman"/>
                <w:b/>
                <w:i w:val="0"/>
                <w:color w:val="0F172A"/>
                <w:sz w:val="20"/>
              </w:rPr>
              <w:t>Layer / Category</w:t>
            </w:r>
          </w:p>
        </w:tc>
        <w:tc>
          <w:tcPr>
            <w:tcW w:type="dxa" w:w="3168"/>
            <w:shd w:val="clear" w:color="auto" w:fill="D9E2F3"/>
          </w:tcPr>
          <w:p>
            <w:pPr>
              <w:jc w:val="left"/>
            </w:pPr>
            <w:r>
              <w:rPr>
                <w:rFonts w:ascii="Times New Roman" w:hAnsi="Times New Roman" w:cs="Times New Roman"/>
                <w:b/>
                <w:i w:val="0"/>
                <w:color w:val="0F172A"/>
                <w:sz w:val="20"/>
              </w:rPr>
              <w:t>Technology &amp; Version</w:t>
            </w:r>
          </w:p>
        </w:tc>
        <w:tc>
          <w:tcPr>
            <w:tcW w:type="dxa" w:w="3600"/>
            <w:shd w:val="clear" w:color="auto" w:fill="D9E2F3"/>
          </w:tcPr>
          <w:p>
            <w:pPr>
              <w:jc w:val="left"/>
            </w:pPr>
            <w:r>
              <w:rPr>
                <w:rFonts w:ascii="Times New Roman" w:hAnsi="Times New Roman" w:cs="Times New Roman"/>
                <w:b/>
                <w:i w:val="0"/>
                <w:color w:val="0F172A"/>
                <w:sz w:val="20"/>
              </w:rPr>
              <w:t>System Function / Operational Role</w:t>
            </w:r>
          </w:p>
        </w:tc>
      </w:tr>
      <w:tr>
        <w:tc>
          <w:tcPr>
            <w:tcW w:type="dxa" w:w="2160"/>
          </w:tcPr>
          <w:p>
            <w:pPr>
              <w:jc w:val="left"/>
            </w:pPr>
            <w:r>
              <w:rPr>
                <w:rFonts w:ascii="Times New Roman" w:hAnsi="Times New Roman" w:cs="Times New Roman"/>
                <w:b w:val="0"/>
                <w:i w:val="0"/>
                <w:color w:val="1E293B"/>
                <w:sz w:val="19"/>
              </w:rPr>
              <w:t>Operating System</w:t>
            </w:r>
          </w:p>
        </w:tc>
        <w:tc>
          <w:tcPr>
            <w:tcW w:type="dxa" w:w="3168"/>
          </w:tcPr>
          <w:p>
            <w:pPr>
              <w:jc w:val="left"/>
            </w:pPr>
            <w:r>
              <w:rPr>
                <w:rFonts w:ascii="Times New Roman" w:hAnsi="Times New Roman" w:cs="Times New Roman"/>
                <w:b w:val="0"/>
                <w:i w:val="0"/>
                <w:color w:val="1E293B"/>
                <w:sz w:val="19"/>
              </w:rPr>
              <w:t>Windows 10/11, Ubuntu 22.04 LTS, macOS</w:t>
            </w:r>
          </w:p>
        </w:tc>
        <w:tc>
          <w:tcPr>
            <w:tcW w:type="dxa" w:w="3600"/>
          </w:tcPr>
          <w:p>
            <w:pPr>
              <w:jc w:val="left"/>
            </w:pPr>
            <w:r>
              <w:rPr>
                <w:rFonts w:ascii="Times New Roman" w:hAnsi="Times New Roman" w:cs="Times New Roman"/>
                <w:b w:val="0"/>
                <w:i w:val="0"/>
                <w:color w:val="1E293B"/>
                <w:sz w:val="19"/>
              </w:rPr>
              <w:t>Host workstation and evaluation environment</w:t>
            </w:r>
          </w:p>
        </w:tc>
      </w:tr>
      <w:tr>
        <w:tc>
          <w:tcPr>
            <w:tcW w:type="dxa" w:w="2160"/>
          </w:tcPr>
          <w:p>
            <w:pPr>
              <w:jc w:val="left"/>
            </w:pPr>
            <w:r>
              <w:rPr>
                <w:rFonts w:ascii="Times New Roman" w:hAnsi="Times New Roman" w:cs="Times New Roman"/>
                <w:b w:val="0"/>
                <w:i w:val="0"/>
                <w:color w:val="1E293B"/>
                <w:sz w:val="19"/>
              </w:rPr>
              <w:t>Backend Runtime</w:t>
            </w:r>
          </w:p>
        </w:tc>
        <w:tc>
          <w:tcPr>
            <w:tcW w:type="dxa" w:w="3168"/>
          </w:tcPr>
          <w:p>
            <w:pPr>
              <w:jc w:val="left"/>
            </w:pPr>
            <w:r>
              <w:rPr>
                <w:rFonts w:ascii="Times New Roman" w:hAnsi="Times New Roman" w:cs="Times New Roman"/>
                <w:b w:val="0"/>
                <w:i w:val="0"/>
                <w:color w:val="1E293B"/>
                <w:sz w:val="19"/>
              </w:rPr>
              <w:t>Python 3.10+ (Tested on Python 3.13.0)</w:t>
            </w:r>
          </w:p>
        </w:tc>
        <w:tc>
          <w:tcPr>
            <w:tcW w:type="dxa" w:w="3600"/>
          </w:tcPr>
          <w:p>
            <w:pPr>
              <w:jc w:val="left"/>
            </w:pPr>
            <w:r>
              <w:rPr>
                <w:rFonts w:ascii="Times New Roman" w:hAnsi="Times New Roman" w:cs="Times New Roman"/>
                <w:b w:val="0"/>
                <w:i w:val="0"/>
                <w:color w:val="1E293B"/>
                <w:sz w:val="19"/>
              </w:rPr>
              <w:t>Core backend execution environment</w:t>
            </w:r>
          </w:p>
        </w:tc>
      </w:tr>
      <w:tr>
        <w:tc>
          <w:tcPr>
            <w:tcW w:type="dxa" w:w="2160"/>
          </w:tcPr>
          <w:p>
            <w:pPr>
              <w:jc w:val="left"/>
            </w:pPr>
            <w:r>
              <w:rPr>
                <w:rFonts w:ascii="Times New Roman" w:hAnsi="Times New Roman" w:cs="Times New Roman"/>
                <w:b w:val="0"/>
                <w:i w:val="0"/>
                <w:color w:val="1E293B"/>
                <w:sz w:val="19"/>
              </w:rPr>
              <w:t>API Framework</w:t>
            </w:r>
          </w:p>
        </w:tc>
        <w:tc>
          <w:tcPr>
            <w:tcW w:type="dxa" w:w="3168"/>
          </w:tcPr>
          <w:p>
            <w:pPr>
              <w:jc w:val="left"/>
            </w:pPr>
            <w:r>
              <w:rPr>
                <w:rFonts w:ascii="Times New Roman" w:hAnsi="Times New Roman" w:cs="Times New Roman"/>
                <w:b w:val="0"/>
                <w:i w:val="0"/>
                <w:color w:val="1E293B"/>
                <w:sz w:val="19"/>
              </w:rPr>
              <w:t>FastAPI 0.141.1, Uvicorn 0.53.0</w:t>
            </w:r>
          </w:p>
        </w:tc>
        <w:tc>
          <w:tcPr>
            <w:tcW w:type="dxa" w:w="3600"/>
          </w:tcPr>
          <w:p>
            <w:pPr>
              <w:jc w:val="left"/>
            </w:pPr>
            <w:r>
              <w:rPr>
                <w:rFonts w:ascii="Times New Roman" w:hAnsi="Times New Roman" w:cs="Times New Roman"/>
                <w:b w:val="0"/>
                <w:i w:val="0"/>
                <w:color w:val="1E293B"/>
                <w:sz w:val="19"/>
              </w:rPr>
              <w:t>Asynchronous REST routing, SSE, and ASGI server</w:t>
            </w:r>
          </w:p>
        </w:tc>
      </w:tr>
      <w:tr>
        <w:tc>
          <w:tcPr>
            <w:tcW w:type="dxa" w:w="2160"/>
          </w:tcPr>
          <w:p>
            <w:pPr>
              <w:jc w:val="left"/>
            </w:pPr>
            <w:r>
              <w:rPr>
                <w:rFonts w:ascii="Times New Roman" w:hAnsi="Times New Roman" w:cs="Times New Roman"/>
                <w:b w:val="0"/>
                <w:i w:val="0"/>
                <w:color w:val="1E293B"/>
                <w:sz w:val="19"/>
              </w:rPr>
              <w:t>Data Validation</w:t>
            </w:r>
          </w:p>
        </w:tc>
        <w:tc>
          <w:tcPr>
            <w:tcW w:type="dxa" w:w="3168"/>
          </w:tcPr>
          <w:p>
            <w:pPr>
              <w:jc w:val="left"/>
            </w:pPr>
            <w:r>
              <w:rPr>
                <w:rFonts w:ascii="Times New Roman" w:hAnsi="Times New Roman" w:cs="Times New Roman"/>
                <w:b w:val="0"/>
                <w:i w:val="0"/>
                <w:color w:val="1E293B"/>
                <w:sz w:val="19"/>
              </w:rPr>
              <w:t>Pydantic 2.13.5</w:t>
            </w:r>
          </w:p>
        </w:tc>
        <w:tc>
          <w:tcPr>
            <w:tcW w:type="dxa" w:w="3600"/>
          </w:tcPr>
          <w:p>
            <w:pPr>
              <w:jc w:val="left"/>
            </w:pPr>
            <w:r>
              <w:rPr>
                <w:rFonts w:ascii="Times New Roman" w:hAnsi="Times New Roman" w:cs="Times New Roman"/>
                <w:b w:val="0"/>
                <w:i w:val="0"/>
                <w:color w:val="1E293B"/>
                <w:sz w:val="19"/>
              </w:rPr>
              <w:t>Strict schema validation for all inputs and outputs</w:t>
            </w:r>
          </w:p>
        </w:tc>
      </w:tr>
      <w:tr>
        <w:tc>
          <w:tcPr>
            <w:tcW w:type="dxa" w:w="2160"/>
          </w:tcPr>
          <w:p>
            <w:pPr>
              <w:jc w:val="left"/>
            </w:pPr>
            <w:r>
              <w:rPr>
                <w:rFonts w:ascii="Times New Roman" w:hAnsi="Times New Roman" w:cs="Times New Roman"/>
                <w:b w:val="0"/>
                <w:i w:val="0"/>
                <w:color w:val="1E293B"/>
                <w:sz w:val="19"/>
              </w:rPr>
              <w:t>Object-Relational Mapping</w:t>
            </w:r>
          </w:p>
        </w:tc>
        <w:tc>
          <w:tcPr>
            <w:tcW w:type="dxa" w:w="3168"/>
          </w:tcPr>
          <w:p>
            <w:pPr>
              <w:jc w:val="left"/>
            </w:pPr>
            <w:r>
              <w:rPr>
                <w:rFonts w:ascii="Times New Roman" w:hAnsi="Times New Roman" w:cs="Times New Roman"/>
                <w:b w:val="0"/>
                <w:i w:val="0"/>
                <w:color w:val="1E293B"/>
                <w:sz w:val="19"/>
              </w:rPr>
              <w:t>SQLAlchemy 2.1.1, Alembic 1.20.0</w:t>
            </w:r>
          </w:p>
        </w:tc>
        <w:tc>
          <w:tcPr>
            <w:tcW w:type="dxa" w:w="3600"/>
          </w:tcPr>
          <w:p>
            <w:pPr>
              <w:jc w:val="left"/>
            </w:pPr>
            <w:r>
              <w:rPr>
                <w:rFonts w:ascii="Times New Roman" w:hAnsi="Times New Roman" w:cs="Times New Roman"/>
                <w:b w:val="0"/>
                <w:i w:val="0"/>
                <w:color w:val="1E293B"/>
                <w:sz w:val="19"/>
              </w:rPr>
              <w:t>Relational persistence and versioned schema migrations</w:t>
            </w:r>
          </w:p>
        </w:tc>
      </w:tr>
      <w:tr>
        <w:tc>
          <w:tcPr>
            <w:tcW w:type="dxa" w:w="2160"/>
          </w:tcPr>
          <w:p>
            <w:pPr>
              <w:jc w:val="left"/>
            </w:pPr>
            <w:r>
              <w:rPr>
                <w:rFonts w:ascii="Times New Roman" w:hAnsi="Times New Roman" w:cs="Times New Roman"/>
                <w:b w:val="0"/>
                <w:i w:val="0"/>
                <w:color w:val="1E293B"/>
                <w:sz w:val="19"/>
              </w:rPr>
              <w:t>Database Engine</w:t>
            </w:r>
          </w:p>
        </w:tc>
        <w:tc>
          <w:tcPr>
            <w:tcW w:type="dxa" w:w="3168"/>
          </w:tcPr>
          <w:p>
            <w:pPr>
              <w:jc w:val="left"/>
            </w:pPr>
            <w:r>
              <w:rPr>
                <w:rFonts w:ascii="Times New Roman" w:hAnsi="Times New Roman" w:cs="Times New Roman"/>
                <w:b w:val="0"/>
                <w:i w:val="0"/>
                <w:color w:val="1E293B"/>
                <w:sz w:val="19"/>
              </w:rPr>
              <w:t>SQLite 3 (backend/semanticshield.db)</w:t>
            </w:r>
          </w:p>
        </w:tc>
        <w:tc>
          <w:tcPr>
            <w:tcW w:type="dxa" w:w="3600"/>
          </w:tcPr>
          <w:p>
            <w:pPr>
              <w:jc w:val="left"/>
            </w:pPr>
            <w:r>
              <w:rPr>
                <w:rFonts w:ascii="Times New Roman" w:hAnsi="Times New Roman" w:cs="Times New Roman"/>
                <w:b w:val="0"/>
                <w:i w:val="0"/>
                <w:color w:val="1E293B"/>
                <w:sz w:val="19"/>
              </w:rPr>
              <w:t>Local relational datastore for simulations and incidents</w:t>
            </w:r>
          </w:p>
        </w:tc>
      </w:tr>
      <w:tr>
        <w:tc>
          <w:tcPr>
            <w:tcW w:type="dxa" w:w="2160"/>
          </w:tcPr>
          <w:p>
            <w:pPr>
              <w:jc w:val="left"/>
            </w:pPr>
            <w:r>
              <w:rPr>
                <w:rFonts w:ascii="Times New Roman" w:hAnsi="Times New Roman" w:cs="Times New Roman"/>
                <w:b w:val="0"/>
                <w:i w:val="0"/>
                <w:color w:val="1E293B"/>
                <w:sz w:val="19"/>
              </w:rPr>
              <w:t>Frontend Framework</w:t>
            </w:r>
          </w:p>
        </w:tc>
        <w:tc>
          <w:tcPr>
            <w:tcW w:type="dxa" w:w="3168"/>
          </w:tcPr>
          <w:p>
            <w:pPr>
              <w:jc w:val="left"/>
            </w:pPr>
            <w:r>
              <w:rPr>
                <w:rFonts w:ascii="Times New Roman" w:hAnsi="Times New Roman" w:cs="Times New Roman"/>
                <w:b w:val="0"/>
                <w:i w:val="0"/>
                <w:color w:val="1E293B"/>
                <w:sz w:val="19"/>
              </w:rPr>
              <w:t>React 18.3.1, TypeScript 5.7.2</w:t>
            </w:r>
          </w:p>
        </w:tc>
        <w:tc>
          <w:tcPr>
            <w:tcW w:type="dxa" w:w="3600"/>
          </w:tcPr>
          <w:p>
            <w:pPr>
              <w:jc w:val="left"/>
            </w:pPr>
            <w:r>
              <w:rPr>
                <w:rFonts w:ascii="Times New Roman" w:hAnsi="Times New Roman" w:cs="Times New Roman"/>
                <w:b w:val="0"/>
                <w:i w:val="0"/>
                <w:color w:val="1E293B"/>
                <w:sz w:val="19"/>
              </w:rPr>
              <w:t>Single-page application client and component state</w:t>
            </w:r>
          </w:p>
        </w:tc>
      </w:tr>
      <w:tr>
        <w:tc>
          <w:tcPr>
            <w:tcW w:type="dxa" w:w="2160"/>
          </w:tcPr>
          <w:p>
            <w:pPr>
              <w:jc w:val="left"/>
            </w:pPr>
            <w:r>
              <w:rPr>
                <w:rFonts w:ascii="Times New Roman" w:hAnsi="Times New Roman" w:cs="Times New Roman"/>
                <w:b w:val="0"/>
                <w:i w:val="0"/>
                <w:color w:val="1E293B"/>
                <w:sz w:val="19"/>
              </w:rPr>
              <w:t>Build Tool &amp; Dev Server</w:t>
            </w:r>
          </w:p>
        </w:tc>
        <w:tc>
          <w:tcPr>
            <w:tcW w:type="dxa" w:w="3168"/>
          </w:tcPr>
          <w:p>
            <w:pPr>
              <w:jc w:val="left"/>
            </w:pPr>
            <w:r>
              <w:rPr>
                <w:rFonts w:ascii="Times New Roman" w:hAnsi="Times New Roman" w:cs="Times New Roman"/>
                <w:b w:val="0"/>
                <w:i w:val="0"/>
                <w:color w:val="1E293B"/>
                <w:sz w:val="19"/>
              </w:rPr>
              <w:t>Vite 6.0.5</w:t>
            </w:r>
          </w:p>
        </w:tc>
        <w:tc>
          <w:tcPr>
            <w:tcW w:type="dxa" w:w="3600"/>
          </w:tcPr>
          <w:p>
            <w:pPr>
              <w:jc w:val="left"/>
            </w:pPr>
            <w:r>
              <w:rPr>
                <w:rFonts w:ascii="Times New Roman" w:hAnsi="Times New Roman" w:cs="Times New Roman"/>
                <w:b w:val="0"/>
                <w:i w:val="0"/>
                <w:color w:val="1E293B"/>
                <w:sz w:val="19"/>
              </w:rPr>
              <w:t>High-speed frontend bundling and HMR development server</w:t>
            </w:r>
          </w:p>
        </w:tc>
      </w:tr>
      <w:tr>
        <w:tc>
          <w:tcPr>
            <w:tcW w:type="dxa" w:w="2160"/>
          </w:tcPr>
          <w:p>
            <w:pPr>
              <w:jc w:val="left"/>
            </w:pPr>
            <w:r>
              <w:rPr>
                <w:rFonts w:ascii="Times New Roman" w:hAnsi="Times New Roman" w:cs="Times New Roman"/>
                <w:b w:val="0"/>
                <w:i w:val="0"/>
                <w:color w:val="1E293B"/>
                <w:sz w:val="19"/>
              </w:rPr>
              <w:t>Styling &amp; Icons</w:t>
            </w:r>
          </w:p>
        </w:tc>
        <w:tc>
          <w:tcPr>
            <w:tcW w:type="dxa" w:w="3168"/>
          </w:tcPr>
          <w:p>
            <w:pPr>
              <w:jc w:val="left"/>
            </w:pPr>
            <w:r>
              <w:rPr>
                <w:rFonts w:ascii="Times New Roman" w:hAnsi="Times New Roman" w:cs="Times New Roman"/>
                <w:b w:val="0"/>
                <w:i w:val="0"/>
                <w:color w:val="1E293B"/>
                <w:sz w:val="19"/>
              </w:rPr>
              <w:t>Tailwind CSS 3.4.17, Lucide React 0.469</w:t>
            </w:r>
          </w:p>
        </w:tc>
        <w:tc>
          <w:tcPr>
            <w:tcW w:type="dxa" w:w="3600"/>
          </w:tcPr>
          <w:p>
            <w:pPr>
              <w:jc w:val="left"/>
            </w:pPr>
            <w:r>
              <w:rPr>
                <w:rFonts w:ascii="Times New Roman" w:hAnsi="Times New Roman" w:cs="Times New Roman"/>
                <w:b w:val="0"/>
                <w:i w:val="0"/>
                <w:color w:val="1E293B"/>
                <w:sz w:val="19"/>
              </w:rPr>
              <w:t>Responsive security dashboard layout and icon library</w:t>
            </w:r>
          </w:p>
        </w:tc>
      </w:tr>
      <w:tr>
        <w:tc>
          <w:tcPr>
            <w:tcW w:type="dxa" w:w="2160"/>
          </w:tcPr>
          <w:p>
            <w:pPr>
              <w:jc w:val="left"/>
            </w:pPr>
            <w:r>
              <w:rPr>
                <w:rFonts w:ascii="Times New Roman" w:hAnsi="Times New Roman" w:cs="Times New Roman"/>
                <w:b w:val="0"/>
                <w:i w:val="0"/>
                <w:color w:val="1E293B"/>
                <w:sz w:val="19"/>
              </w:rPr>
              <w:t>Data Visualization</w:t>
            </w:r>
          </w:p>
        </w:tc>
        <w:tc>
          <w:tcPr>
            <w:tcW w:type="dxa" w:w="3168"/>
          </w:tcPr>
          <w:p>
            <w:pPr>
              <w:jc w:val="left"/>
            </w:pPr>
            <w:r>
              <w:rPr>
                <w:rFonts w:ascii="Times New Roman" w:hAnsi="Times New Roman" w:cs="Times New Roman"/>
                <w:b w:val="0"/>
                <w:i w:val="0"/>
                <w:color w:val="1E293B"/>
                <w:sz w:val="19"/>
              </w:rPr>
              <w:t>Recharts 2.15.0, Matplotlib 3.9+</w:t>
            </w:r>
          </w:p>
        </w:tc>
        <w:tc>
          <w:tcPr>
            <w:tcW w:type="dxa" w:w="3600"/>
          </w:tcPr>
          <w:p>
            <w:pPr>
              <w:jc w:val="left"/>
            </w:pPr>
            <w:r>
              <w:rPr>
                <w:rFonts w:ascii="Times New Roman" w:hAnsi="Times New Roman" w:cs="Times New Roman"/>
                <w:b w:val="0"/>
                <w:i w:val="0"/>
                <w:color w:val="1E293B"/>
                <w:sz w:val="19"/>
              </w:rPr>
              <w:t>Interactive web charts and publication-grade figures</w:t>
            </w:r>
          </w:p>
        </w:tc>
      </w:tr>
      <w:tr>
        <w:tc>
          <w:tcPr>
            <w:tcW w:type="dxa" w:w="2160"/>
          </w:tcPr>
          <w:p>
            <w:pPr>
              <w:jc w:val="left"/>
            </w:pPr>
            <w:r>
              <w:rPr>
                <w:rFonts w:ascii="Times New Roman" w:hAnsi="Times New Roman" w:cs="Times New Roman"/>
                <w:b w:val="0"/>
                <w:i w:val="0"/>
                <w:color w:val="1E293B"/>
                <w:sz w:val="19"/>
              </w:rPr>
              <w:t>AI Provider &amp; SDK</w:t>
            </w:r>
          </w:p>
        </w:tc>
        <w:tc>
          <w:tcPr>
            <w:tcW w:type="dxa" w:w="3168"/>
          </w:tcPr>
          <w:p>
            <w:pPr>
              <w:jc w:val="left"/>
            </w:pPr>
            <w:r>
              <w:rPr>
                <w:rFonts w:ascii="Times New Roman" w:hAnsi="Times New Roman" w:cs="Times New Roman"/>
                <w:b w:val="0"/>
                <w:i w:val="0"/>
                <w:color w:val="1E293B"/>
                <w:sz w:val="19"/>
              </w:rPr>
              <w:t>Google GenAI SDK 2.23.0 (Gemini 3.5)</w:t>
            </w:r>
          </w:p>
        </w:tc>
        <w:tc>
          <w:tcPr>
            <w:tcW w:type="dxa" w:w="3600"/>
          </w:tcPr>
          <w:p>
            <w:pPr>
              <w:jc w:val="left"/>
            </w:pPr>
            <w:r>
              <w:rPr>
                <w:rFonts w:ascii="Times New Roman" w:hAnsi="Times New Roman" w:cs="Times New Roman"/>
                <w:b w:val="0"/>
                <w:i w:val="0"/>
                <w:color w:val="1E293B"/>
                <w:sz w:val="19"/>
              </w:rPr>
              <w:t>Behavioral persona simulation and reasoning streaming</w:t>
            </w:r>
          </w:p>
        </w:tc>
      </w:tr>
      <w:tr>
        <w:tc>
          <w:tcPr>
            <w:tcW w:type="dxa" w:w="2160"/>
          </w:tcPr>
          <w:p>
            <w:pPr>
              <w:jc w:val="left"/>
            </w:pPr>
            <w:r>
              <w:rPr>
                <w:rFonts w:ascii="Times New Roman" w:hAnsi="Times New Roman" w:cs="Times New Roman"/>
                <w:b w:val="0"/>
                <w:i w:val="0"/>
                <w:color w:val="1E293B"/>
                <w:sz w:val="19"/>
              </w:rPr>
              <w:t>Real-Time Communication</w:t>
            </w:r>
          </w:p>
        </w:tc>
        <w:tc>
          <w:tcPr>
            <w:tcW w:type="dxa" w:w="3168"/>
          </w:tcPr>
          <w:p>
            <w:pPr>
              <w:jc w:val="left"/>
            </w:pPr>
            <w:r>
              <w:rPr>
                <w:rFonts w:ascii="Times New Roman" w:hAnsi="Times New Roman" w:cs="Times New Roman"/>
                <w:b w:val="0"/>
                <w:i w:val="0"/>
                <w:color w:val="1E293B"/>
                <w:sz w:val="19"/>
              </w:rPr>
              <w:t>WebSockets 16.1.1</w:t>
            </w:r>
          </w:p>
        </w:tc>
        <w:tc>
          <w:tcPr>
            <w:tcW w:type="dxa" w:w="3600"/>
          </w:tcPr>
          <w:p>
            <w:pPr>
              <w:jc w:val="left"/>
            </w:pPr>
            <w:r>
              <w:rPr>
                <w:rFonts w:ascii="Times New Roman" w:hAnsi="Times New Roman" w:cs="Times New Roman"/>
                <w:b w:val="0"/>
                <w:i w:val="0"/>
                <w:color w:val="1E293B"/>
                <w:sz w:val="19"/>
              </w:rPr>
              <w:t>Bidirectional event broadcasting across 5 channels</w:t>
            </w:r>
          </w:p>
        </w:tc>
      </w:tr>
      <w:tr>
        <w:tc>
          <w:tcPr>
            <w:tcW w:type="dxa" w:w="2160"/>
          </w:tcPr>
          <w:p>
            <w:pPr>
              <w:jc w:val="left"/>
            </w:pPr>
            <w:r>
              <w:rPr>
                <w:rFonts w:ascii="Times New Roman" w:hAnsi="Times New Roman" w:cs="Times New Roman"/>
                <w:b w:val="0"/>
                <w:i w:val="0"/>
                <w:color w:val="1E293B"/>
                <w:sz w:val="19"/>
              </w:rPr>
              <w:t>Threat Intel Providers</w:t>
            </w:r>
          </w:p>
        </w:tc>
        <w:tc>
          <w:tcPr>
            <w:tcW w:type="dxa" w:w="3168"/>
          </w:tcPr>
          <w:p>
            <w:pPr>
              <w:jc w:val="left"/>
            </w:pPr>
            <w:r>
              <w:rPr>
                <w:rFonts w:ascii="Times New Roman" w:hAnsi="Times New Roman" w:cs="Times New Roman"/>
                <w:b w:val="0"/>
                <w:i w:val="0"/>
                <w:color w:val="1E293B"/>
                <w:sz w:val="19"/>
              </w:rPr>
              <w:t>VirusTotal, AbuseIPDB, URLScan, WHOIS, RDAP</w:t>
            </w:r>
          </w:p>
        </w:tc>
        <w:tc>
          <w:tcPr>
            <w:tcW w:type="dxa" w:w="3600"/>
          </w:tcPr>
          <w:p>
            <w:pPr>
              <w:jc w:val="left"/>
            </w:pPr>
            <w:r>
              <w:rPr>
                <w:rFonts w:ascii="Times New Roman" w:hAnsi="Times New Roman" w:cs="Times New Roman"/>
                <w:b w:val="0"/>
                <w:i w:val="0"/>
                <w:color w:val="1E293B"/>
                <w:sz w:val="19"/>
              </w:rPr>
              <w:t>Multi-plugin indicator reputation lookups</w:t>
            </w:r>
          </w:p>
        </w:tc>
      </w:tr>
      <w:tr>
        <w:tc>
          <w:tcPr>
            <w:tcW w:type="dxa" w:w="2160"/>
          </w:tcPr>
          <w:p>
            <w:pPr>
              <w:jc w:val="left"/>
            </w:pPr>
            <w:r>
              <w:rPr>
                <w:rFonts w:ascii="Times New Roman" w:hAnsi="Times New Roman" w:cs="Times New Roman"/>
                <w:b w:val="0"/>
                <w:i w:val="0"/>
                <w:color w:val="1E293B"/>
                <w:sz w:val="19"/>
              </w:rPr>
              <w:t>Browser Extension</w:t>
            </w:r>
          </w:p>
        </w:tc>
        <w:tc>
          <w:tcPr>
            <w:tcW w:type="dxa" w:w="3168"/>
          </w:tcPr>
          <w:p>
            <w:pPr>
              <w:jc w:val="left"/>
            </w:pPr>
            <w:r>
              <w:rPr>
                <w:rFonts w:ascii="Times New Roman" w:hAnsi="Times New Roman" w:cs="Times New Roman"/>
                <w:b w:val="0"/>
                <w:i w:val="0"/>
                <w:color w:val="1E293B"/>
                <w:sz w:val="19"/>
              </w:rPr>
              <w:t>Chrome Manifest V3 (extension/)</w:t>
            </w:r>
          </w:p>
        </w:tc>
        <w:tc>
          <w:tcPr>
            <w:tcW w:type="dxa" w:w="3600"/>
          </w:tcPr>
          <w:p>
            <w:pPr>
              <w:jc w:val="left"/>
            </w:pPr>
            <w:r>
              <w:rPr>
                <w:rFonts w:ascii="Times New Roman" w:hAnsi="Times New Roman" w:cs="Times New Roman"/>
                <w:b w:val="0"/>
                <w:i w:val="0"/>
                <w:color w:val="1E293B"/>
                <w:sz w:val="19"/>
              </w:rPr>
              <w:t>Client-side browser scanning and real-time alerts</w:t>
            </w:r>
          </w:p>
        </w:tc>
      </w:tr>
      <w:tr>
        <w:tc>
          <w:tcPr>
            <w:tcW w:type="dxa" w:w="2160"/>
          </w:tcPr>
          <w:p>
            <w:pPr>
              <w:jc w:val="left"/>
            </w:pPr>
            <w:r>
              <w:rPr>
                <w:rFonts w:ascii="Times New Roman" w:hAnsi="Times New Roman" w:cs="Times New Roman"/>
                <w:b w:val="0"/>
                <w:i w:val="0"/>
                <w:color w:val="1E293B"/>
                <w:sz w:val="19"/>
              </w:rPr>
              <w:t>Test Automation</w:t>
            </w:r>
          </w:p>
        </w:tc>
        <w:tc>
          <w:tcPr>
            <w:tcW w:type="dxa" w:w="3168"/>
          </w:tcPr>
          <w:p>
            <w:pPr>
              <w:jc w:val="left"/>
            </w:pPr>
            <w:r>
              <w:rPr>
                <w:rFonts w:ascii="Times New Roman" w:hAnsi="Times New Roman" w:cs="Times New Roman"/>
                <w:b w:val="0"/>
                <w:i w:val="0"/>
                <w:color w:val="1E293B"/>
                <w:sz w:val="19"/>
              </w:rPr>
              <w:t>Pytest 9.1.1, Unittest, HTTPX 0.28.1</w:t>
            </w:r>
          </w:p>
        </w:tc>
        <w:tc>
          <w:tcPr>
            <w:tcW w:type="dxa" w:w="3600"/>
          </w:tcPr>
          <w:p>
            <w:pPr>
              <w:jc w:val="left"/>
            </w:pPr>
            <w:r>
              <w:rPr>
                <w:rFonts w:ascii="Times New Roman" w:hAnsi="Times New Roman" w:cs="Times New Roman"/>
                <w:b w:val="0"/>
                <w:i w:val="0"/>
                <w:color w:val="1E293B"/>
                <w:sz w:val="19"/>
              </w:rPr>
              <w:t>Automated route testing and QA benchmark suites</w:t>
            </w:r>
          </w:p>
        </w:tc>
      </w:tr>
    </w:tbl>
    <w:p>
      <w:pPr>
        <w:spacing w:after="140"/>
      </w:pPr>
    </w:p>
    <w:p>
      <w:pPr>
        <w:pStyle w:val="Heading3"/>
        <w:jc w:val="left"/>
        <w:spacing w:before="180" w:after="80"/>
      </w:pPr>
      <w:r>
        <w:rPr>
          <w:rFonts w:ascii="Times New Roman" w:hAnsi="Times New Roman" w:cs="Times New Roman"/>
          <w:b/>
          <w:i w:val="0"/>
          <w:sz w:val="26"/>
        </w:rPr>
        <w:t>2.3.2 Hardware Requirements</w:t>
      </w:r>
    </w:p>
    <w:p>
      <w:pPr>
        <w:jc w:val="both"/>
        <w:spacing w:before="0" w:after="140" w:line="300" w:lineRule="auto"/>
      </w:pPr>
      <w:r>
        <w:rPr>
          <w:rFonts w:ascii="Times New Roman" w:hAnsi="Times New Roman" w:cs="Times New Roman"/>
          <w:b w:val="0"/>
          <w:i w:val="0"/>
          <w:sz w:val="24"/>
        </w:rPr>
        <w:t>Because SemanticShield AI delegates heavy generative inference to Google Cloud APIs and utilizes an optimized SQLite database engine, it operates efficiently on standard development workstations. Table 2.3 outlines the hardware specifications.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3009"/>
        <w:gridCol w:w="3009"/>
        <w:gridCol w:w="3009"/>
      </w:tblGrid>
      <w:tr>
        <w:tc>
          <w:tcPr>
            <w:tcW w:type="dxa" w:w="2592"/>
            <w:shd w:val="clear" w:color="auto" w:fill="D9E2F3"/>
          </w:tcPr>
          <w:p>
            <w:pPr>
              <w:jc w:val="left"/>
            </w:pPr>
            <w:r>
              <w:rPr>
                <w:rFonts w:ascii="Times New Roman" w:hAnsi="Times New Roman" w:cs="Times New Roman"/>
                <w:b/>
                <w:i w:val="0"/>
                <w:color w:val="0F172A"/>
                <w:sz w:val="20"/>
              </w:rPr>
              <w:t>Hardware Component</w:t>
            </w:r>
          </w:p>
        </w:tc>
        <w:tc>
          <w:tcPr>
            <w:tcW w:type="dxa" w:w="3168"/>
            <w:shd w:val="clear" w:color="auto" w:fill="D9E2F3"/>
          </w:tcPr>
          <w:p>
            <w:pPr>
              <w:jc w:val="left"/>
            </w:pPr>
            <w:r>
              <w:rPr>
                <w:rFonts w:ascii="Times New Roman" w:hAnsi="Times New Roman" w:cs="Times New Roman"/>
                <w:b/>
                <w:i w:val="0"/>
                <w:color w:val="0F172A"/>
                <w:sz w:val="20"/>
              </w:rPr>
              <w:t>Minimum Requirement</w:t>
            </w:r>
          </w:p>
        </w:tc>
        <w:tc>
          <w:tcPr>
            <w:tcW w:type="dxa" w:w="3168"/>
            <w:shd w:val="clear" w:color="auto" w:fill="D9E2F3"/>
          </w:tcPr>
          <w:p>
            <w:pPr>
              <w:jc w:val="left"/>
            </w:pPr>
            <w:r>
              <w:rPr>
                <w:rFonts w:ascii="Times New Roman" w:hAnsi="Times New Roman" w:cs="Times New Roman"/>
                <w:b/>
                <w:i w:val="0"/>
                <w:color w:val="0F172A"/>
                <w:sz w:val="20"/>
              </w:rPr>
              <w:t>Recommended Specification</w:t>
            </w:r>
          </w:p>
        </w:tc>
      </w:tr>
      <w:tr>
        <w:tc>
          <w:tcPr>
            <w:tcW w:type="dxa" w:w="2592"/>
          </w:tcPr>
          <w:p>
            <w:pPr>
              <w:jc w:val="left"/>
            </w:pPr>
            <w:r>
              <w:rPr>
                <w:rFonts w:ascii="Times New Roman" w:hAnsi="Times New Roman" w:cs="Times New Roman"/>
                <w:b w:val="0"/>
                <w:i w:val="0"/>
                <w:color w:val="1E293B"/>
                <w:sz w:val="19"/>
              </w:rPr>
              <w:t>Central Processor (CPU)</w:t>
            </w:r>
          </w:p>
        </w:tc>
        <w:tc>
          <w:tcPr>
            <w:tcW w:type="dxa" w:w="3168"/>
          </w:tcPr>
          <w:p>
            <w:pPr>
              <w:jc w:val="left"/>
            </w:pPr>
            <w:r>
              <w:rPr>
                <w:rFonts w:ascii="Times New Roman" w:hAnsi="Times New Roman" w:cs="Times New Roman"/>
                <w:b w:val="0"/>
                <w:i w:val="0"/>
                <w:color w:val="1E293B"/>
                <w:sz w:val="19"/>
              </w:rPr>
              <w:t>Intel Core i5 (8th Gen) or AMD Ryzen 5</w:t>
            </w:r>
          </w:p>
        </w:tc>
        <w:tc>
          <w:tcPr>
            <w:tcW w:type="dxa" w:w="3168"/>
          </w:tcPr>
          <w:p>
            <w:pPr>
              <w:jc w:val="left"/>
            </w:pPr>
            <w:r>
              <w:rPr>
                <w:rFonts w:ascii="Times New Roman" w:hAnsi="Times New Roman" w:cs="Times New Roman"/>
                <w:b w:val="0"/>
                <w:i w:val="0"/>
                <w:color w:val="1E293B"/>
                <w:sz w:val="19"/>
              </w:rPr>
              <w:t>Intel Core i7/i9 or AMD Ryzen 7 (6+ cores)</w:t>
            </w:r>
          </w:p>
        </w:tc>
      </w:tr>
      <w:tr>
        <w:tc>
          <w:tcPr>
            <w:tcW w:type="dxa" w:w="2592"/>
          </w:tcPr>
          <w:p>
            <w:pPr>
              <w:jc w:val="left"/>
            </w:pPr>
            <w:r>
              <w:rPr>
                <w:rFonts w:ascii="Times New Roman" w:hAnsi="Times New Roman" w:cs="Times New Roman"/>
                <w:b w:val="0"/>
                <w:i w:val="0"/>
                <w:color w:val="1E293B"/>
                <w:sz w:val="19"/>
              </w:rPr>
              <w:t>System Memory (RAM)</w:t>
            </w:r>
          </w:p>
        </w:tc>
        <w:tc>
          <w:tcPr>
            <w:tcW w:type="dxa" w:w="3168"/>
          </w:tcPr>
          <w:p>
            <w:pPr>
              <w:jc w:val="left"/>
            </w:pPr>
            <w:r>
              <w:rPr>
                <w:rFonts w:ascii="Times New Roman" w:hAnsi="Times New Roman" w:cs="Times New Roman"/>
                <w:b w:val="0"/>
                <w:i w:val="0"/>
                <w:color w:val="1E293B"/>
                <w:sz w:val="19"/>
              </w:rPr>
              <w:t>8 GB DDR4</w:t>
            </w:r>
          </w:p>
        </w:tc>
        <w:tc>
          <w:tcPr>
            <w:tcW w:type="dxa" w:w="3168"/>
          </w:tcPr>
          <w:p>
            <w:pPr>
              <w:jc w:val="left"/>
            </w:pPr>
            <w:r>
              <w:rPr>
                <w:rFonts w:ascii="Times New Roman" w:hAnsi="Times New Roman" w:cs="Times New Roman"/>
                <w:b w:val="0"/>
                <w:i w:val="0"/>
                <w:color w:val="1E293B"/>
                <w:sz w:val="19"/>
              </w:rPr>
              <w:t>16 GB DDR4/DDR5</w:t>
            </w:r>
          </w:p>
        </w:tc>
      </w:tr>
      <w:tr>
        <w:tc>
          <w:tcPr>
            <w:tcW w:type="dxa" w:w="2592"/>
          </w:tcPr>
          <w:p>
            <w:pPr>
              <w:jc w:val="left"/>
            </w:pPr>
            <w:r>
              <w:rPr>
                <w:rFonts w:ascii="Times New Roman" w:hAnsi="Times New Roman" w:cs="Times New Roman"/>
                <w:b w:val="0"/>
                <w:i w:val="0"/>
                <w:color w:val="1E293B"/>
                <w:sz w:val="19"/>
              </w:rPr>
              <w:t>Storage Space</w:t>
            </w:r>
          </w:p>
        </w:tc>
        <w:tc>
          <w:tcPr>
            <w:tcW w:type="dxa" w:w="3168"/>
          </w:tcPr>
          <w:p>
            <w:pPr>
              <w:jc w:val="left"/>
            </w:pPr>
            <w:r>
              <w:rPr>
                <w:rFonts w:ascii="Times New Roman" w:hAnsi="Times New Roman" w:cs="Times New Roman"/>
                <w:b w:val="0"/>
                <w:i w:val="0"/>
                <w:color w:val="1E293B"/>
                <w:sz w:val="19"/>
              </w:rPr>
              <w:t>10 GB available SSD space</w:t>
            </w:r>
          </w:p>
        </w:tc>
        <w:tc>
          <w:tcPr>
            <w:tcW w:type="dxa" w:w="3168"/>
          </w:tcPr>
          <w:p>
            <w:pPr>
              <w:jc w:val="left"/>
            </w:pPr>
            <w:r>
              <w:rPr>
                <w:rFonts w:ascii="Times New Roman" w:hAnsi="Times New Roman" w:cs="Times New Roman"/>
                <w:b w:val="0"/>
                <w:i w:val="0"/>
                <w:color w:val="1E293B"/>
                <w:sz w:val="19"/>
              </w:rPr>
              <w:t>25 GB available NVMe SSD space</w:t>
            </w:r>
          </w:p>
        </w:tc>
      </w:tr>
      <w:tr>
        <w:tc>
          <w:tcPr>
            <w:tcW w:type="dxa" w:w="2592"/>
          </w:tcPr>
          <w:p>
            <w:pPr>
              <w:jc w:val="left"/>
            </w:pPr>
            <w:r>
              <w:rPr>
                <w:rFonts w:ascii="Times New Roman" w:hAnsi="Times New Roman" w:cs="Times New Roman"/>
                <w:b w:val="0"/>
                <w:i w:val="0"/>
                <w:color w:val="1E293B"/>
                <w:sz w:val="19"/>
              </w:rPr>
              <w:t>Network Interface</w:t>
            </w:r>
          </w:p>
        </w:tc>
        <w:tc>
          <w:tcPr>
            <w:tcW w:type="dxa" w:w="3168"/>
          </w:tcPr>
          <w:p>
            <w:pPr>
              <w:jc w:val="left"/>
            </w:pPr>
            <w:r>
              <w:rPr>
                <w:rFonts w:ascii="Times New Roman" w:hAnsi="Times New Roman" w:cs="Times New Roman"/>
                <w:b w:val="0"/>
                <w:i w:val="0"/>
                <w:color w:val="1E293B"/>
                <w:sz w:val="19"/>
              </w:rPr>
              <w:t>Standard broadband Internet access</w:t>
            </w:r>
          </w:p>
        </w:tc>
        <w:tc>
          <w:tcPr>
            <w:tcW w:type="dxa" w:w="3168"/>
          </w:tcPr>
          <w:p>
            <w:pPr>
              <w:jc w:val="left"/>
            </w:pPr>
            <w:r>
              <w:rPr>
                <w:rFonts w:ascii="Times New Roman" w:hAnsi="Times New Roman" w:cs="Times New Roman"/>
                <w:b w:val="0"/>
                <w:i w:val="0"/>
                <w:color w:val="1E293B"/>
                <w:sz w:val="19"/>
              </w:rPr>
              <w:t>Low-latency broadband for Gemini streaming APIs</w:t>
            </w:r>
          </w:p>
        </w:tc>
      </w:tr>
      <w:tr>
        <w:tc>
          <w:tcPr>
            <w:tcW w:type="dxa" w:w="2592"/>
          </w:tcPr>
          <w:p>
            <w:pPr>
              <w:jc w:val="left"/>
            </w:pPr>
            <w:r>
              <w:rPr>
                <w:rFonts w:ascii="Times New Roman" w:hAnsi="Times New Roman" w:cs="Times New Roman"/>
                <w:b w:val="0"/>
                <w:i w:val="0"/>
                <w:color w:val="1E293B"/>
                <w:sz w:val="19"/>
              </w:rPr>
              <w:t>Display Resolution</w:t>
            </w:r>
          </w:p>
        </w:tc>
        <w:tc>
          <w:tcPr>
            <w:tcW w:type="dxa" w:w="3168"/>
          </w:tcPr>
          <w:p>
            <w:pPr>
              <w:jc w:val="left"/>
            </w:pPr>
            <w:r>
              <w:rPr>
                <w:rFonts w:ascii="Times New Roman" w:hAnsi="Times New Roman" w:cs="Times New Roman"/>
                <w:b w:val="0"/>
                <w:i w:val="0"/>
                <w:color w:val="1E293B"/>
                <w:sz w:val="19"/>
              </w:rPr>
              <w:t>1366 × 768 standard display</w:t>
            </w:r>
          </w:p>
        </w:tc>
        <w:tc>
          <w:tcPr>
            <w:tcW w:type="dxa" w:w="3168"/>
          </w:tcPr>
          <w:p>
            <w:pPr>
              <w:jc w:val="left"/>
            </w:pPr>
            <w:r>
              <w:rPr>
                <w:rFonts w:ascii="Times New Roman" w:hAnsi="Times New Roman" w:cs="Times New Roman"/>
                <w:b w:val="0"/>
                <w:i w:val="0"/>
                <w:color w:val="1E293B"/>
                <w:sz w:val="19"/>
              </w:rPr>
              <w:t>1920 × 1080 (Full HD) at 100% browser scaling</w:t>
            </w:r>
          </w:p>
        </w:tc>
      </w:tr>
      <w:tr>
        <w:tc>
          <w:tcPr>
            <w:tcW w:type="dxa" w:w="2592"/>
          </w:tcPr>
          <w:p>
            <w:pPr>
              <w:jc w:val="left"/>
            </w:pPr>
            <w:r>
              <w:rPr>
                <w:rFonts w:ascii="Times New Roman" w:hAnsi="Times New Roman" w:cs="Times New Roman"/>
                <w:b w:val="0"/>
                <w:i w:val="0"/>
                <w:color w:val="1E293B"/>
                <w:sz w:val="19"/>
              </w:rPr>
              <w:t>Input Devices</w:t>
            </w:r>
          </w:p>
        </w:tc>
        <w:tc>
          <w:tcPr>
            <w:tcW w:type="dxa" w:w="3168"/>
          </w:tcPr>
          <w:p>
            <w:pPr>
              <w:jc w:val="left"/>
            </w:pPr>
            <w:r>
              <w:rPr>
                <w:rFonts w:ascii="Times New Roman" w:hAnsi="Times New Roman" w:cs="Times New Roman"/>
                <w:b w:val="0"/>
                <w:i w:val="0"/>
                <w:color w:val="1E293B"/>
                <w:sz w:val="19"/>
              </w:rPr>
              <w:t>Standard keyboard and pointing device</w:t>
            </w:r>
          </w:p>
        </w:tc>
        <w:tc>
          <w:tcPr>
            <w:tcW w:type="dxa" w:w="3168"/>
          </w:tcPr>
          <w:p>
            <w:pPr>
              <w:jc w:val="left"/>
            </w:pPr>
            <w:r>
              <w:rPr>
                <w:rFonts w:ascii="Times New Roman" w:hAnsi="Times New Roman" w:cs="Times New Roman"/>
                <w:b w:val="0"/>
                <w:i w:val="0"/>
                <w:color w:val="1E293B"/>
                <w:sz w:val="19"/>
              </w:rPr>
              <w:t>Standard keyboard and mouse</w:t>
            </w:r>
          </w:p>
        </w:tc>
      </w:tr>
    </w:tbl>
    <w:p>
      <w:pPr>
        <w:spacing w:after="140"/>
      </w:pPr>
    </w:p>
    <w:p>
      <w:pPr>
        <w:pStyle w:val="Heading2"/>
        <w:jc w:val="left"/>
        <w:spacing w:before="240" w:after="120"/>
      </w:pPr>
      <w:r>
        <w:rPr>
          <w:rFonts w:ascii="Times New Roman" w:hAnsi="Times New Roman" w:cs="Times New Roman"/>
          <w:b/>
          <w:i w:val="0"/>
          <w:sz w:val="28"/>
        </w:rPr>
        <w:t>2.4 Feasibility Study</w:t>
      </w:r>
    </w:p>
    <w:p>
      <w:pPr>
        <w:jc w:val="both"/>
        <w:spacing w:before="0" w:after="140" w:line="300" w:lineRule="auto"/>
      </w:pPr>
      <w:r>
        <w:rPr>
          <w:rFonts w:ascii="Times New Roman" w:hAnsi="Times New Roman" w:cs="Times New Roman"/>
          <w:b w:val="0"/>
          <w:i w:val="0"/>
          <w:sz w:val="24"/>
        </w:rPr>
        <w:t>A rigorous feasibility study was performed across five operational dimensions to ensure SemanticShield AI is viable for academic research, laboratory demonstration, and practical security training.</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Technical Feasibility: </w:t>
      </w:r>
      <w:r>
        <w:rPr>
          <w:rFonts w:ascii="Times New Roman" w:hAnsi="Times New Roman" w:cs="Times New Roman"/>
          <w:b w:val="0"/>
          <w:i w:val="0"/>
          <w:sz w:val="23"/>
        </w:rPr>
        <w:t>The selected technology stack—FastAPI, React, Vite, SQLAlchemy, and Google GenAI SDK—is mature, stable, and extensively documented. The working prototype demonstrates that asynchronous WebSocket streaming, prompt-engineered employee simulation, multi-agent heuristic parsing, and SQLite persistence operate reliably in a single integrated pipeline. The automated test suite achieves 100% passing results across all 24 API routes, and the frontend Vite build compiles cleanly without errors.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Economic Feasibility: </w:t>
      </w:r>
      <w:r>
        <w:rPr>
          <w:rFonts w:ascii="Times New Roman" w:hAnsi="Times New Roman" w:cs="Times New Roman"/>
          <w:b w:val="0"/>
          <w:i w:val="0"/>
          <w:sz w:val="23"/>
        </w:rPr>
        <w:t>The project is economically advantageous. It is constructed entirely from open-source software libraries and leverages the free-tier Google Gemini API, requiring zero expenditure on commercial SIEM, SOAR, or threat intelligence licensing. Development and operational validation can be completed on existing institutional workstation hardware.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Operational Feasibility: </w:t>
      </w:r>
      <w:r>
        <w:rPr>
          <w:rFonts w:ascii="Times New Roman" w:hAnsi="Times New Roman" w:cs="Times New Roman"/>
          <w:b w:val="0"/>
          <w:i w:val="0"/>
          <w:sz w:val="23"/>
        </w:rPr>
        <w:t>The React frontend provides an intuitive, tabbed operational console comprising an Offensive Simulation Sandbox, Defensive Scanning Portal, Incident Management Triage Table, and Real-Time Analytics Dashboard. Security trainees and analysts can trigger simulations, inspect streamed reasoning, assign remediation actions, and export reports without specialized command-line expertise.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Legal and Ethical Feasibility: </w:t>
      </w:r>
      <w:r>
        <w:rPr>
          <w:rFonts w:ascii="Times New Roman" w:hAnsi="Times New Roman" w:cs="Times New Roman"/>
          <w:b w:val="0"/>
          <w:i w:val="0"/>
          <w:sz w:val="23"/>
        </w:rPr>
        <w:t>SemanticShield AI is engineered strictly for authorized research and controlled training environments. All simulated phishing scenarios utilize synthetic corporate domain names (e.g., login-secure-payroll-verify.com) and fictitious personnel. No genuine user credentials or private data are harvested or transmitted. All external API keys and sensitive configuration parameters are strictly managed via environment variables and excluded from version control.</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Time Feasibility: </w:t>
      </w:r>
      <w:r>
        <w:rPr>
          <w:rFonts w:ascii="Times New Roman" w:hAnsi="Times New Roman" w:cs="Times New Roman"/>
          <w:b w:val="0"/>
          <w:i w:val="0"/>
          <w:sz w:val="23"/>
        </w:rPr>
        <w:t>Development followed an incremental, milestone-driven lifecycle: core threat heuristics and URL analyzers (Milestone 1), multi-agent supervisor and RiskEngine (Milestone 2), phishing simulation engine and behavioral prompts (Milestone 3), incident management and reporting (Milestone 4), and WebSocket telemetry with frontend dashboard integration (Milestone 5). The completed system is fully assembled and operational.</w:t>
      </w:r>
    </w:p>
    <w:p>
      <w:pPr>
        <w:pStyle w:val="Heading1"/>
        <w:jc w:val="center"/>
        <w:pageBreakBefore/>
        <w:spacing w:before="0" w:after="60"/>
      </w:pPr>
      <w:r>
        <w:rPr>
          <w:rFonts w:ascii="Times New Roman" w:hAnsi="Times New Roman" w:cs="Times New Roman"/>
          <w:b/>
          <w:i w:val="0"/>
          <w:sz w:val="30"/>
        </w:rPr>
        <w:t>CHAPTER - 3</w:t>
      </w:r>
    </w:p>
    <w:p>
      <w:pPr>
        <w:jc w:val="center"/>
        <w:spacing w:before="0" w:after="240"/>
      </w:pPr>
      <w:r>
        <w:rPr>
          <w:rFonts w:ascii="Times New Roman" w:hAnsi="Times New Roman" w:cs="Times New Roman"/>
          <w:b/>
          <w:i w:val="0"/>
          <w:sz w:val="30"/>
        </w:rPr>
        <w:t>ARCHITECTURAL DESIGN</w:t>
      </w:r>
    </w:p>
    <w:p>
      <w:pPr>
        <w:pStyle w:val="Heading2"/>
        <w:jc w:val="left"/>
        <w:spacing w:before="240" w:after="120"/>
      </w:pPr>
      <w:r>
        <w:rPr>
          <w:rFonts w:ascii="Times New Roman" w:hAnsi="Times New Roman" w:cs="Times New Roman"/>
          <w:b/>
          <w:i w:val="0"/>
          <w:sz w:val="28"/>
        </w:rPr>
        <w:t>3.1 Modules Design</w:t>
      </w:r>
    </w:p>
    <w:p>
      <w:pPr>
        <w:jc w:val="both"/>
        <w:spacing w:before="0" w:after="140" w:line="300" w:lineRule="auto"/>
      </w:pPr>
      <w:r>
        <w:rPr>
          <w:rFonts w:ascii="Times New Roman" w:hAnsi="Times New Roman" w:cs="Times New Roman"/>
          <w:b w:val="0"/>
          <w:i w:val="0"/>
          <w:sz w:val="24"/>
        </w:rPr>
        <w:t>SemanticShield AI is structured around loosely coupled, highly cohesive modules that mirror how an enterprise Security Operations Center partitions responsibilities between offensive security testing, telemetry ingestion, automated threat evaluation, and incident response.</w:t>
      </w:r>
    </w:p>
    <w:p>
      <w:pPr>
        <w:jc w:val="left"/>
        <w:spacing w:before="140" w:after="60"/>
      </w:pPr>
      <w:r>
        <w:rPr>
          <w:rFonts w:ascii="Times New Roman" w:hAnsi="Times New Roman" w:cs="Times New Roman"/>
          <w:b/>
          <w:i w:val="0"/>
          <w:sz w:val="24"/>
        </w:rPr>
        <w:t>1. Phishing Simulation Ingestion Module</w:t>
      </w:r>
    </w:p>
    <w:p>
      <w:pPr>
        <w:jc w:val="both"/>
        <w:spacing w:before="0" w:after="140" w:line="300" w:lineRule="auto"/>
      </w:pPr>
      <w:r>
        <w:rPr>
          <w:rFonts w:ascii="Times New Roman" w:hAnsi="Times New Roman" w:cs="Times New Roman"/>
          <w:b w:val="0"/>
          <w:i w:val="0"/>
          <w:sz w:val="24"/>
        </w:rPr>
        <w:t>Located in app/services/phishing_simulation/engine.py, this module serves as the primary controller for offensive evaluation runs. It validates inbound simulation requests against strict Pydantic schemas, verifies target scenario parameters, initializes unique simulation tracking identifiers (SIM-XXXXXXXX), and orchestrates the end-to-end 12-step simulation lifecycle.</w:t>
      </w:r>
    </w:p>
    <w:p>
      <w:pPr>
        <w:jc w:val="left"/>
        <w:spacing w:before="140" w:after="60"/>
      </w:pPr>
      <w:r>
        <w:rPr>
          <w:rFonts w:ascii="Times New Roman" w:hAnsi="Times New Roman" w:cs="Times New Roman"/>
          <w:b/>
          <w:i w:val="0"/>
          <w:sz w:val="24"/>
        </w:rPr>
        <w:t>2. Behavioral Persona Prompting Module</w:t>
      </w:r>
    </w:p>
    <w:p>
      <w:pPr>
        <w:jc w:val="both"/>
        <w:spacing w:before="0" w:after="140" w:line="300" w:lineRule="auto"/>
      </w:pPr>
      <w:r>
        <w:rPr>
          <w:rFonts w:ascii="Times New Roman" w:hAnsi="Times New Roman" w:cs="Times New Roman"/>
          <w:b w:val="0"/>
          <w:i w:val="0"/>
          <w:sz w:val="24"/>
        </w:rPr>
        <w:t>Implemented in app/services/phishing_simulation/system_prompts.py, this module manages the behavioral prompt catalog. It encapsulates distinct psychological profiles (Trusting HR, Security-Conscious Developer, Overwhelmed Finance, and Executive VP), injecting cognitive biases, role-specific operational habits, and decision-making criteria into the language model prompt.</w:t>
      </w:r>
    </w:p>
    <w:p>
      <w:pPr>
        <w:jc w:val="left"/>
        <w:spacing w:before="140" w:after="60"/>
      </w:pPr>
      <w:r>
        <w:rPr>
          <w:rFonts w:ascii="Times New Roman" w:hAnsi="Times New Roman" w:cs="Times New Roman"/>
          <w:b/>
          <w:i w:val="0"/>
          <w:sz w:val="24"/>
        </w:rPr>
        <w:t>3. Agent Reasoning &amp; Decision Extraction Module</w:t>
      </w:r>
    </w:p>
    <w:p>
      <w:pPr>
        <w:jc w:val="both"/>
        <w:spacing w:before="0" w:after="140" w:line="300" w:lineRule="auto"/>
      </w:pPr>
      <w:r>
        <w:rPr>
          <w:rFonts w:ascii="Times New Roman" w:hAnsi="Times New Roman" w:cs="Times New Roman"/>
          <w:b w:val="0"/>
          <w:i w:val="0"/>
          <w:sz w:val="24"/>
        </w:rPr>
        <w:t>Located in app/services/phishing_simulation/gemini_handler.py, this module manages asynchronous streaming communication with the Google GenAI SDK (gemini-3.5-flash). It accumulates reasoning chunks in real time, constructs conversational history, and utilizes regular expressions to parse explicit decision tags ([VULNERABLE] versus [SAFE]), falling back to keyword heuristic analysis if explicit bracket tags are omitted.</w:t>
      </w:r>
    </w:p>
    <w:p>
      <w:pPr>
        <w:jc w:val="left"/>
        <w:spacing w:before="140" w:after="60"/>
      </w:pPr>
      <w:r>
        <w:rPr>
          <w:rFonts w:ascii="Times New Roman" w:hAnsi="Times New Roman" w:cs="Times New Roman"/>
          <w:b/>
          <w:i w:val="0"/>
          <w:sz w:val="24"/>
        </w:rPr>
        <w:t>4. Multi-Agent Threat Orchestration Module</w:t>
      </w:r>
    </w:p>
    <w:p>
      <w:pPr>
        <w:jc w:val="both"/>
        <w:spacing w:before="0" w:after="140" w:line="300" w:lineRule="auto"/>
      </w:pPr>
      <w:r>
        <w:rPr>
          <w:rFonts w:ascii="Times New Roman" w:hAnsi="Times New Roman" w:cs="Times New Roman"/>
          <w:b w:val="0"/>
          <w:i w:val="0"/>
          <w:sz w:val="24"/>
        </w:rPr>
        <w:t>Implemented in app/orchestrator/supervisor.py, the SupervisorAgent coordinates concurrent multi-agent threat evaluation across inbound web requests and MIME email artifacts. It instantiates the specialized analysis agents, dispatches concurrent evaluation tasks using Python asyncio, and aggregates threat score vectors into a unified payload.</w:t>
      </w:r>
    </w:p>
    <w:p>
      <w:pPr>
        <w:jc w:val="left"/>
        <w:spacing w:before="140" w:after="60"/>
      </w:pPr>
      <w:r>
        <w:rPr>
          <w:rFonts w:ascii="Times New Roman" w:hAnsi="Times New Roman" w:cs="Times New Roman"/>
          <w:b/>
          <w:i w:val="0"/>
          <w:sz w:val="24"/>
        </w:rPr>
        <w:t>5. Semantic Analysis Agent</w:t>
      </w:r>
    </w:p>
    <w:p>
      <w:pPr>
        <w:jc w:val="both"/>
        <w:spacing w:before="0" w:after="140" w:line="300" w:lineRule="auto"/>
      </w:pPr>
      <w:r>
        <w:rPr>
          <w:rFonts w:ascii="Times New Roman" w:hAnsi="Times New Roman" w:cs="Times New Roman"/>
          <w:b w:val="0"/>
          <w:i w:val="0"/>
          <w:sz w:val="24"/>
        </w:rPr>
        <w:t>Located in app/agents/semantic_agent.py, this agent evaluates natural language content for linguistic manipulation, urgent pretexting, credential solicitation, and emotional coercion triggers. It leverages Gemini natural language processing to produce a normalized 0–100 threat score and an array of extracted threat rationale indicators.</w:t>
      </w:r>
    </w:p>
    <w:p>
      <w:pPr>
        <w:jc w:val="left"/>
        <w:spacing w:before="140" w:after="60"/>
      </w:pPr>
      <w:r>
        <w:rPr>
          <w:rFonts w:ascii="Times New Roman" w:hAnsi="Times New Roman" w:cs="Times New Roman"/>
          <w:b/>
          <w:i w:val="0"/>
          <w:sz w:val="24"/>
        </w:rPr>
        <w:t>6. Behavior Analysis Agent</w:t>
      </w:r>
    </w:p>
    <w:p>
      <w:pPr>
        <w:jc w:val="both"/>
        <w:spacing w:before="0" w:after="140" w:line="300" w:lineRule="auto"/>
      </w:pPr>
      <w:r>
        <w:rPr>
          <w:rFonts w:ascii="Times New Roman" w:hAnsi="Times New Roman" w:cs="Times New Roman"/>
          <w:b w:val="0"/>
          <w:i w:val="0"/>
          <w:sz w:val="24"/>
        </w:rPr>
        <w:t>Implemented in app/agents/behavior_agent.py, this agent evaluates procedural compliance, urgency patterns, and coercive behavioral triggers (e.g., threats of account termination, deadline pressure, wire transfer overrides). It quantifies the psychological pressure exerted on the recipient into a 0–100 behavioral severity score.</w:t>
      </w:r>
    </w:p>
    <w:p>
      <w:pPr>
        <w:jc w:val="left"/>
        <w:spacing w:before="140" w:after="60"/>
      </w:pPr>
      <w:r>
        <w:rPr>
          <w:rFonts w:ascii="Times New Roman" w:hAnsi="Times New Roman" w:cs="Times New Roman"/>
          <w:b/>
          <w:i w:val="0"/>
          <w:sz w:val="24"/>
        </w:rPr>
        <w:t>7. Impersonation &amp; Context Agent</w:t>
      </w:r>
    </w:p>
    <w:p>
      <w:pPr>
        <w:jc w:val="both"/>
        <w:spacing w:before="0" w:after="140" w:line="300" w:lineRule="auto"/>
      </w:pPr>
      <w:r>
        <w:rPr>
          <w:rFonts w:ascii="Times New Roman" w:hAnsi="Times New Roman" w:cs="Times New Roman"/>
          <w:b w:val="0"/>
          <w:i w:val="0"/>
          <w:sz w:val="24"/>
        </w:rPr>
        <w:t>Located in app/agents/impersonation_agent.py and context_agent.py, this subsystem inspects sender display names against actual SMTP return paths, identifies brand spoofing (e.g., 'Microsoft Security Team' sent from an unmanaged domain), and detects VIP executive pretexting attempts.</w:t>
      </w:r>
    </w:p>
    <w:p>
      <w:pPr>
        <w:jc w:val="left"/>
        <w:spacing w:before="140" w:after="60"/>
      </w:pPr>
      <w:r>
        <w:rPr>
          <w:rFonts w:ascii="Times New Roman" w:hAnsi="Times New Roman" w:cs="Times New Roman"/>
          <w:b/>
          <w:i w:val="0"/>
          <w:sz w:val="24"/>
        </w:rPr>
        <w:t>8. URL Intelligence Agent &amp; Heuristic Analyzer</w:t>
      </w:r>
    </w:p>
    <w:p>
      <w:pPr>
        <w:jc w:val="both"/>
        <w:spacing w:before="0" w:after="140" w:line="300" w:lineRule="auto"/>
      </w:pPr>
      <w:r>
        <w:rPr>
          <w:rFonts w:ascii="Times New Roman" w:hAnsi="Times New Roman" w:cs="Times New Roman"/>
          <w:b w:val="0"/>
          <w:i w:val="0"/>
          <w:sz w:val="24"/>
        </w:rPr>
        <w:t>Implemented in app/agents/heuristics/, this module executes deep technical URL inspections without relying on third-party lookups. It calculates Shannon entropy across domain strings, detects homoglyph attacks and unicode confusables, checks for credential harvesting keywords in path strings, and flags non-standard web ports.</w:t>
      </w:r>
    </w:p>
    <w:p>
      <w:pPr>
        <w:jc w:val="left"/>
        <w:spacing w:before="140" w:after="60"/>
      </w:pPr>
      <w:r>
        <w:rPr>
          <w:rFonts w:ascii="Times New Roman" w:hAnsi="Times New Roman" w:cs="Times New Roman"/>
          <w:b/>
          <w:i w:val="0"/>
          <w:sz w:val="24"/>
        </w:rPr>
        <w:t>9. Threat Intelligence Manager &amp; Plugin Registry</w:t>
      </w:r>
    </w:p>
    <w:p>
      <w:pPr>
        <w:jc w:val="both"/>
        <w:spacing w:before="0" w:after="140" w:line="300" w:lineRule="auto"/>
      </w:pPr>
      <w:r>
        <w:rPr>
          <w:rFonts w:ascii="Times New Roman" w:hAnsi="Times New Roman" w:cs="Times New Roman"/>
          <w:b w:val="0"/>
          <w:i w:val="0"/>
          <w:sz w:val="24"/>
        </w:rPr>
        <w:t>Located in app/services/threat_intelligence/, this module manages an extensible plugin architecture integrating five intelligence providers: VirusTotal, AbuseIPDB, URLScan, WHOIS, and RDAP. It features in-memory Time-To-Live (TTL) caching, provider health telemetry, and a deterministic local mock fallback that activates when external APIs are rate-limited or offline.</w:t>
      </w:r>
    </w:p>
    <w:p>
      <w:pPr>
        <w:jc w:val="left"/>
        <w:spacing w:before="140" w:after="60"/>
      </w:pPr>
      <w:r>
        <w:rPr>
          <w:rFonts w:ascii="Times New Roman" w:hAnsi="Times New Roman" w:cs="Times New Roman"/>
          <w:b/>
          <w:i w:val="0"/>
          <w:sz w:val="24"/>
        </w:rPr>
        <w:t>10. Risk Assessment Engine</w:t>
      </w:r>
    </w:p>
    <w:p>
      <w:pPr>
        <w:jc w:val="both"/>
        <w:spacing w:before="0" w:after="140" w:line="300" w:lineRule="auto"/>
      </w:pPr>
      <w:r>
        <w:rPr>
          <w:rFonts w:ascii="Times New Roman" w:hAnsi="Times New Roman" w:cs="Times New Roman"/>
          <w:b w:val="0"/>
          <w:i w:val="0"/>
          <w:sz w:val="24"/>
        </w:rPr>
        <w:t>Implemented in app/engines/risk_engine.py, this module executes code-governed, deterministic risk calculation. It combines agent score vectors using a 40/25/35 weighted formula, enforces high-signal security floor overrides, normalizes scores, and maps composite results to standardized RiskLevel classifications (Safe, Suspicious, Dangerous).</w:t>
      </w:r>
    </w:p>
    <w:p>
      <w:pPr>
        <w:jc w:val="left"/>
        <w:spacing w:before="140" w:after="60"/>
      </w:pPr>
      <w:r>
        <w:rPr>
          <w:rFonts w:ascii="Times New Roman" w:hAnsi="Times New Roman" w:cs="Times New Roman"/>
          <w:b/>
          <w:i w:val="0"/>
          <w:sz w:val="24"/>
        </w:rPr>
        <w:t>11. Incident Management &amp; Correlation Module</w:t>
      </w:r>
    </w:p>
    <w:p>
      <w:pPr>
        <w:jc w:val="both"/>
        <w:spacing w:before="0" w:after="140" w:line="300" w:lineRule="auto"/>
      </w:pPr>
      <w:r>
        <w:rPr>
          <w:rFonts w:ascii="Times New Roman" w:hAnsi="Times New Roman" w:cs="Times New Roman"/>
          <w:b w:val="0"/>
          <w:i w:val="0"/>
          <w:sz w:val="24"/>
        </w:rPr>
        <w:t>Located in app/services/incident_management/manager.py and mitre.py, this module maintains the enterprise incident lifecycle (New, Investigating, Contained, Resolved, Closed). It maps detected threat indicators to formal MITRE ATT&amp;CK techniques, maintains an immutable JSON-serialized audit history, and manages analyst assignment.</w:t>
      </w:r>
    </w:p>
    <w:p>
      <w:pPr>
        <w:jc w:val="left"/>
        <w:spacing w:before="140" w:after="60"/>
      </w:pPr>
      <w:r>
        <w:rPr>
          <w:rFonts w:ascii="Times New Roman" w:hAnsi="Times New Roman" w:cs="Times New Roman"/>
          <w:b/>
          <w:i w:val="0"/>
          <w:sz w:val="24"/>
        </w:rPr>
        <w:t>12. Real-Time WebSocket Telemetry Broadcaster</w:t>
      </w:r>
    </w:p>
    <w:p>
      <w:pPr>
        <w:jc w:val="both"/>
        <w:spacing w:before="0" w:after="140" w:line="300" w:lineRule="auto"/>
      </w:pPr>
      <w:r>
        <w:rPr>
          <w:rFonts w:ascii="Times New Roman" w:hAnsi="Times New Roman" w:cs="Times New Roman"/>
          <w:b w:val="0"/>
          <w:i w:val="0"/>
          <w:sz w:val="24"/>
        </w:rPr>
        <w:t>Implemented in app/services/websocket/manager.py, this asynchronous component maintains persistent client connections across five dedicated operational channels: dashboard, incidents, threats, activity, and notifications. It broadcasts real-time telemetry updates to connected frontend clients with automatic dead-socket cleanup.</w:t>
      </w:r>
    </w:p>
    <w:p>
      <w:pPr>
        <w:jc w:val="left"/>
        <w:spacing w:before="140" w:after="60"/>
      </w:pPr>
      <w:r>
        <w:rPr>
          <w:rFonts w:ascii="Times New Roman" w:hAnsi="Times New Roman" w:cs="Times New Roman"/>
          <w:b/>
          <w:i w:val="0"/>
          <w:sz w:val="24"/>
        </w:rPr>
        <w:t>13. Reporting &amp; Multi-Format Exporter Module</w:t>
      </w:r>
    </w:p>
    <w:p>
      <w:pPr>
        <w:jc w:val="both"/>
        <w:spacing w:before="0" w:after="140" w:line="300" w:lineRule="auto"/>
      </w:pPr>
      <w:r>
        <w:rPr>
          <w:rFonts w:ascii="Times New Roman" w:hAnsi="Times New Roman" w:cs="Times New Roman"/>
          <w:b w:val="0"/>
          <w:i w:val="0"/>
          <w:sz w:val="24"/>
        </w:rPr>
        <w:t>Located in app/services/reporting/, this engine generates multi-perspective security documentation (Executive Threat Assessment, Technical IoC Report, SOC Investigation Master Record). Its export engine serializes records into JSON, Markdown, CSV, and STIX 2.1 Cyber Threat Intelligence packages.</w:t>
      </w:r>
    </w:p>
    <w:p>
      <w:pPr>
        <w:jc w:val="left"/>
        <w:spacing w:before="140" w:after="60"/>
      </w:pPr>
      <w:r>
        <w:rPr>
          <w:rFonts w:ascii="Times New Roman" w:hAnsi="Times New Roman" w:cs="Times New Roman"/>
          <w:b/>
          <w:i w:val="0"/>
          <w:sz w:val="24"/>
        </w:rPr>
        <w:t>14. Relational Storage &amp; Database Migration Module</w:t>
      </w:r>
    </w:p>
    <w:p>
      <w:pPr>
        <w:jc w:val="both"/>
        <w:spacing w:before="0" w:after="140" w:line="300" w:lineRule="auto"/>
      </w:pPr>
      <w:r>
        <w:rPr>
          <w:rFonts w:ascii="Times New Roman" w:hAnsi="Times New Roman" w:cs="Times New Roman"/>
          <w:b w:val="0"/>
          <w:i w:val="0"/>
          <w:sz w:val="24"/>
        </w:rPr>
        <w:t>Implemented in app/services/storage/, this module manages SQLite database operations using SQLAlchemy 2.0 declarative models and Alembic versioned migrations. It maintains relational tables for simulations, incidents, activity_feed, notifications, and threat_reports.</w:t>
      </w:r>
    </w:p>
    <w:p>
      <w:pPr>
        <w:jc w:val="left"/>
        <w:spacing w:before="140" w:after="60"/>
      </w:pPr>
      <w:r>
        <w:rPr>
          <w:rFonts w:ascii="Times New Roman" w:hAnsi="Times New Roman" w:cs="Times New Roman"/>
          <w:b/>
          <w:i w:val="0"/>
          <w:sz w:val="24"/>
        </w:rPr>
        <w:t>15. Client-Side Browser Protection Extension</w:t>
      </w:r>
    </w:p>
    <w:p>
      <w:pPr>
        <w:jc w:val="both"/>
        <w:spacing w:before="0" w:after="140" w:line="300" w:lineRule="auto"/>
      </w:pPr>
      <w:r>
        <w:rPr>
          <w:rFonts w:ascii="Times New Roman" w:hAnsi="Times New Roman" w:cs="Times New Roman"/>
          <w:b w:val="0"/>
          <w:i w:val="0"/>
          <w:sz w:val="24"/>
        </w:rPr>
        <w:t>Located in extension/, this Manifest V3 Chrome extension delivers real-time perimeter protection. It captures visited page URLs and metadata, queries the backend /analyze endpoint via background service workers, and displays interactive risk alerts directly within the browser interface.</w:t>
      </w:r>
    </w:p>
    <w:p>
      <w:pPr>
        <w:pStyle w:val="Heading2"/>
        <w:jc w:val="left"/>
        <w:spacing w:before="240" w:after="120"/>
      </w:pPr>
      <w:r>
        <w:rPr>
          <w:rFonts w:ascii="Times New Roman" w:hAnsi="Times New Roman" w:cs="Times New Roman"/>
          <w:b/>
          <w:i w:val="0"/>
          <w:sz w:val="28"/>
        </w:rPr>
        <w:t>3.2 Method and Algorithm Design</w:t>
      </w:r>
    </w:p>
    <w:p>
      <w:pPr>
        <w:jc w:val="both"/>
        <w:spacing w:before="0" w:after="140" w:line="300" w:lineRule="auto"/>
      </w:pPr>
      <w:r>
        <w:rPr>
          <w:rFonts w:ascii="Times New Roman" w:hAnsi="Times New Roman" w:cs="Times New Roman"/>
          <w:b w:val="0"/>
          <w:i w:val="0"/>
          <w:sz w:val="24"/>
        </w:rPr>
        <w:t>The algorithmic design of SemanticShield AI is guided by a fundamental architectural rule: Generative AI Simulates Employee Cognition; Deterministic Code Rules Calculate Enterprise Risk. Generative models are never permitted to act as the final arbiter of numeric security metrics.</w:t>
      </w:r>
    </w:p>
    <w:p>
      <w:pPr>
        <w:pStyle w:val="Heading3"/>
        <w:jc w:val="left"/>
        <w:spacing w:before="180" w:after="80"/>
      </w:pPr>
      <w:r>
        <w:rPr>
          <w:rFonts w:ascii="Times New Roman" w:hAnsi="Times New Roman" w:cs="Times New Roman"/>
          <w:b/>
          <w:i w:val="0"/>
          <w:sz w:val="26"/>
        </w:rPr>
        <w:t>3.2.1 Behavioral Persona Prompting</w:t>
      </w:r>
    </w:p>
    <w:p>
      <w:pPr>
        <w:jc w:val="both"/>
        <w:spacing w:before="0" w:after="140" w:line="300" w:lineRule="auto"/>
      </w:pPr>
      <w:r>
        <w:rPr>
          <w:rFonts w:ascii="Times New Roman" w:hAnsi="Times New Roman" w:cs="Times New Roman"/>
          <w:b w:val="0"/>
          <w:i w:val="0"/>
          <w:sz w:val="24"/>
        </w:rPr>
        <w:t>To realistically simulate human threat susceptibility, SemanticShield AI implements four distinct employee personas grounded in behavioral cybersecurity research (Cialdini [4], Downs et al. [7]):</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Trusting HR Manager: </w:t>
      </w:r>
      <w:r>
        <w:rPr>
          <w:rFonts w:ascii="Times New Roman" w:hAnsi="Times New Roman" w:cs="Times New Roman"/>
          <w:b w:val="0"/>
          <w:i w:val="0"/>
          <w:sz w:val="23"/>
        </w:rPr>
        <w:t>High baseline organizational trust, prioritizes processing speed over technical verification, assumes corporate IT security filters all dangerous emails, ignores sender address domain anomalies if the display name appears professional.</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Security-Conscious Senior Developer: </w:t>
      </w:r>
      <w:r>
        <w:rPr>
          <w:rFonts w:ascii="Times New Roman" w:hAnsi="Times New Roman" w:cs="Times New Roman"/>
          <w:b w:val="0"/>
          <w:i w:val="0"/>
          <w:sz w:val="23"/>
        </w:rPr>
        <w:t>Technically knowledgeable, paranoid about unauthorized requests, routinely hovers over hyperlinks, inspects full email headers and SPF/DKIM authentication records, rejects unverified credential or payment solicitations.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Overwhelmed Finance Manager: </w:t>
      </w:r>
      <w:r>
        <w:rPr>
          <w:rFonts w:ascii="Times New Roman" w:hAnsi="Times New Roman" w:cs="Times New Roman"/>
          <w:b w:val="0"/>
          <w:i w:val="0"/>
          <w:sz w:val="23"/>
        </w:rPr>
        <w:t>Subjected to severe deadline stress and high inbox volume (100+ daily emails), skims messages quickly, highly vulnerable to urgent invoice approvals and executive payment overrides under time pressure.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Executive Vice President of Operations: </w:t>
      </w:r>
      <w:r>
        <w:rPr>
          <w:rFonts w:ascii="Times New Roman" w:hAnsi="Times New Roman" w:cs="Times New Roman"/>
          <w:b w:val="0"/>
          <w:i w:val="0"/>
          <w:sz w:val="23"/>
        </w:rPr>
        <w:t>Constantly traveling or in meetings, processes communication rapidly on mobile devices, relies heavily on administrative assistants for verification, vulnerable to peer-level executive pretexting.</w:t>
      </w:r>
    </w:p>
    <w:p>
      <w:pPr>
        <w:pStyle w:val="Heading3"/>
        <w:jc w:val="left"/>
        <w:spacing w:before="180" w:after="80"/>
      </w:pPr>
      <w:r>
        <w:rPr>
          <w:rFonts w:ascii="Times New Roman" w:hAnsi="Times New Roman" w:cs="Times New Roman"/>
          <w:b/>
          <w:i w:val="0"/>
          <w:sz w:val="26"/>
        </w:rPr>
        <w:t>3.2.2 Streaming Reasoning and Decision Extraction</w:t>
      </w:r>
    </w:p>
    <w:p>
      <w:pPr>
        <w:jc w:val="both"/>
        <w:spacing w:before="0" w:after="140" w:line="300" w:lineRule="auto"/>
      </w:pPr>
      <w:r>
        <w:rPr>
          <w:rFonts w:ascii="Times New Roman" w:hAnsi="Times New Roman" w:cs="Times New Roman"/>
          <w:b w:val="0"/>
          <w:i w:val="0"/>
          <w:sz w:val="24"/>
        </w:rPr>
        <w:t>During simulation execution, the Google GenAI SDK streams model reasoning tokens to the backend via an asynchronous generator. The model is instructed to output step-by-step cognitive evaluations followed by a terminating decision tag. Once the stream concludes, the backend extracts the decision using regular expressions matching r'\[(VULNERABLE|SAFE)\]'. If a simulated employee yields to the pretext, approves the request, or clicks the link, the system records VULNERABLE; if the employee identifies red flags and rejects the communication, it records SAFE. A heuristic keyword scanner provides fallback extraction if explicit bracket tags are omitted.</w:t>
      </w:r>
    </w:p>
    <w:p>
      <w:pPr>
        <w:pStyle w:val="Heading3"/>
        <w:jc w:val="left"/>
        <w:spacing w:before="180" w:after="80"/>
      </w:pPr>
      <w:r>
        <w:rPr>
          <w:rFonts w:ascii="Times New Roman" w:hAnsi="Times New Roman" w:cs="Times New Roman"/>
          <w:b/>
          <w:i w:val="0"/>
          <w:sz w:val="26"/>
        </w:rPr>
        <w:t>3.2.3 Multi-Agent Threat Scoring &amp; RiskEngine Evaluation</w:t>
      </w:r>
    </w:p>
    <w:p>
      <w:pPr>
        <w:jc w:val="both"/>
        <w:spacing w:before="0" w:after="140" w:line="300" w:lineRule="auto"/>
      </w:pPr>
      <w:r>
        <w:rPr>
          <w:rFonts w:ascii="Times New Roman" w:hAnsi="Times New Roman" w:cs="Times New Roman"/>
          <w:b w:val="0"/>
          <w:i w:val="0"/>
          <w:sz w:val="24"/>
        </w:rPr>
        <w:t>When an email or web payload is evaluated, the SupervisorAgent dispatches concurrent evaluation tasks across the specialized agents. The RiskEngine calculates the composite threat score using the mathematical formulation:</w:t>
      </w:r>
    </w:p>
    <w:p>
      <w:pPr>
        <w:jc w:val="center"/>
        <w:spacing w:before="0" w:after="140" w:line="300" w:lineRule="auto"/>
      </w:pPr>
      <w:r>
        <w:rPr>
          <w:rFonts w:ascii="Times New Roman" w:hAnsi="Times New Roman" w:cs="Times New Roman"/>
          <w:b/>
          <w:i w:val="0"/>
          <w:sz w:val="24"/>
        </w:rPr>
        <w:t>Composite_Score = (0.40 * S_semantic) + (0.25 * S_behavior) + (0.35 * S_url)</w:t>
      </w:r>
    </w:p>
    <w:p>
      <w:pPr>
        <w:jc w:val="both"/>
        <w:spacing w:before="0" w:after="140" w:line="300" w:lineRule="auto"/>
      </w:pPr>
      <w:r>
        <w:rPr>
          <w:rFonts w:ascii="Times New Roman" w:hAnsi="Times New Roman" w:cs="Times New Roman"/>
          <w:b w:val="0"/>
          <w:i w:val="0"/>
          <w:sz w:val="24"/>
        </w:rPr>
        <w:t>To prevent critical attack indicators from being diluted by benign signals, the RiskEngine applies three non-linear High-Signal Security Boost overrides: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Critical Threat Floor (&gt;= 80.0): </w:t>
      </w:r>
      <w:r>
        <w:rPr>
          <w:rFonts w:ascii="Times New Roman" w:hAnsi="Times New Roman" w:cs="Times New Roman"/>
          <w:b w:val="0"/>
          <w:i w:val="0"/>
          <w:sz w:val="23"/>
        </w:rPr>
        <w:t>If max(agent scores) &gt;= 80.0, the composite score is overridden to max(RawScore, 0.20 * RawScore + 0.80 * max(agent scores)), ensuring that explicit malicious indicators guarantee a dangerous classification.</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Elevated Threat Floor (&gt;= 60.0): </w:t>
      </w:r>
      <w:r>
        <w:rPr>
          <w:rFonts w:ascii="Times New Roman" w:hAnsi="Times New Roman" w:cs="Times New Roman"/>
          <w:b w:val="0"/>
          <w:i w:val="0"/>
          <w:sz w:val="23"/>
        </w:rPr>
        <w:t>If max(agent scores) &gt;= 60.0, the composite score is overridden to max(RawScore, 0.35 * RawScore + 0.65 * max(agent scores)).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Moderate Threat Floor (&gt;= 45.0): </w:t>
      </w:r>
      <w:r>
        <w:rPr>
          <w:rFonts w:ascii="Times New Roman" w:hAnsi="Times New Roman" w:cs="Times New Roman"/>
          <w:b w:val="0"/>
          <w:i w:val="0"/>
          <w:sz w:val="23"/>
        </w:rPr>
        <w:t>If max(agent scores) &gt;= 45.0, the composite score is overridden to max(RawScore, 0.50 * RawScore + 0.50 * max(agent scores)).</w:t>
      </w:r>
    </w:p>
    <w:p>
      <w:pPr>
        <w:pStyle w:val="Heading3"/>
        <w:jc w:val="left"/>
        <w:spacing w:before="180" w:after="80"/>
      </w:pPr>
      <w:r>
        <w:rPr>
          <w:rFonts w:ascii="Times New Roman" w:hAnsi="Times New Roman" w:cs="Times New Roman"/>
          <w:b/>
          <w:i w:val="0"/>
          <w:sz w:val="26"/>
        </w:rPr>
        <w:t>3.2.4 Severity Classification &amp; Thresholds</w:t>
      </w:r>
    </w:p>
    <w:p>
      <w:pPr>
        <w:jc w:val="both"/>
        <w:spacing w:before="0" w:after="140" w:line="300" w:lineRule="auto"/>
      </w:pPr>
      <w:r>
        <w:rPr>
          <w:rFonts w:ascii="Times New Roman" w:hAnsi="Times New Roman" w:cs="Times New Roman"/>
          <w:b w:val="0"/>
          <w:i w:val="0"/>
          <w:sz w:val="24"/>
        </w:rPr>
        <w:t>Composite scores are normalized to a 0–100 integer scale and mapped to standardized enterprise severity categories as shown in Table 3.1.</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3009"/>
        <w:gridCol w:w="3009"/>
        <w:gridCol w:w="3009"/>
      </w:tblGrid>
      <w:tr>
        <w:tc>
          <w:tcPr>
            <w:tcW w:type="dxa" w:w="2592"/>
            <w:shd w:val="clear" w:color="auto" w:fill="D9E2F3"/>
          </w:tcPr>
          <w:p>
            <w:pPr>
              <w:jc w:val="left"/>
            </w:pPr>
            <w:r>
              <w:rPr>
                <w:rFonts w:ascii="Times New Roman" w:hAnsi="Times New Roman" w:cs="Times New Roman"/>
                <w:b/>
                <w:i w:val="0"/>
                <w:color w:val="0F172A"/>
                <w:sz w:val="20"/>
              </w:rPr>
              <w:t>Risk Level</w:t>
            </w:r>
          </w:p>
        </w:tc>
        <w:tc>
          <w:tcPr>
            <w:tcW w:type="dxa" w:w="2016"/>
            <w:shd w:val="clear" w:color="auto" w:fill="D9E2F3"/>
          </w:tcPr>
          <w:p>
            <w:pPr>
              <w:jc w:val="left"/>
            </w:pPr>
            <w:r>
              <w:rPr>
                <w:rFonts w:ascii="Times New Roman" w:hAnsi="Times New Roman" w:cs="Times New Roman"/>
                <w:b/>
                <w:i w:val="0"/>
                <w:color w:val="0F172A"/>
                <w:sz w:val="20"/>
              </w:rPr>
              <w:t>Score Range</w:t>
            </w:r>
          </w:p>
        </w:tc>
        <w:tc>
          <w:tcPr>
            <w:tcW w:type="dxa" w:w="4320"/>
            <w:shd w:val="clear" w:color="auto" w:fill="D9E2F3"/>
          </w:tcPr>
          <w:p>
            <w:pPr>
              <w:jc w:val="left"/>
            </w:pPr>
            <w:r>
              <w:rPr>
                <w:rFonts w:ascii="Times New Roman" w:hAnsi="Times New Roman" w:cs="Times New Roman"/>
                <w:b/>
                <w:i w:val="0"/>
                <w:color w:val="0F172A"/>
                <w:sz w:val="20"/>
              </w:rPr>
              <w:t>Operational Significance / Action Criteria</w:t>
            </w:r>
          </w:p>
        </w:tc>
      </w:tr>
      <w:tr>
        <w:tc>
          <w:tcPr>
            <w:tcW w:type="dxa" w:w="2592"/>
          </w:tcPr>
          <w:p>
            <w:pPr>
              <w:jc w:val="left"/>
            </w:pPr>
            <w:r>
              <w:rPr>
                <w:rFonts w:ascii="Times New Roman" w:hAnsi="Times New Roman" w:cs="Times New Roman"/>
                <w:b w:val="0"/>
                <w:i w:val="0"/>
                <w:color w:val="1E293B"/>
                <w:sz w:val="19"/>
              </w:rPr>
              <w:t>CRITICAL / DANGEROUS</w:t>
            </w:r>
          </w:p>
        </w:tc>
        <w:tc>
          <w:tcPr>
            <w:tcW w:type="dxa" w:w="2016"/>
          </w:tcPr>
          <w:p>
            <w:pPr>
              <w:jc w:val="left"/>
            </w:pPr>
            <w:r>
              <w:rPr>
                <w:rFonts w:ascii="Times New Roman" w:hAnsi="Times New Roman" w:cs="Times New Roman"/>
                <w:b w:val="0"/>
                <w:i w:val="0"/>
                <w:color w:val="1E293B"/>
                <w:sz w:val="19"/>
              </w:rPr>
              <w:t>65.0 - 100.0</w:t>
            </w:r>
          </w:p>
        </w:tc>
        <w:tc>
          <w:tcPr>
            <w:tcW w:type="dxa" w:w="4320"/>
          </w:tcPr>
          <w:p>
            <w:pPr>
              <w:jc w:val="left"/>
            </w:pPr>
            <w:r>
              <w:rPr>
                <w:rFonts w:ascii="Times New Roman" w:hAnsi="Times New Roman" w:cs="Times New Roman"/>
                <w:b w:val="0"/>
                <w:i w:val="0"/>
                <w:color w:val="1E293B"/>
                <w:sz w:val="19"/>
              </w:rPr>
              <w:t>Confirmed phishing, credential harvesting, or urgent coercion. Auto-creates P1/P2 SOC incident.</w:t>
            </w:r>
          </w:p>
        </w:tc>
      </w:tr>
      <w:tr>
        <w:tc>
          <w:tcPr>
            <w:tcW w:type="dxa" w:w="2592"/>
          </w:tcPr>
          <w:p>
            <w:pPr>
              <w:jc w:val="left"/>
            </w:pPr>
            <w:r>
              <w:rPr>
                <w:rFonts w:ascii="Times New Roman" w:hAnsi="Times New Roman" w:cs="Times New Roman"/>
                <w:b w:val="0"/>
                <w:i w:val="0"/>
                <w:color w:val="1E293B"/>
                <w:sz w:val="19"/>
              </w:rPr>
              <w:t>SUSPICIOUS</w:t>
            </w:r>
          </w:p>
        </w:tc>
        <w:tc>
          <w:tcPr>
            <w:tcW w:type="dxa" w:w="2016"/>
          </w:tcPr>
          <w:p>
            <w:pPr>
              <w:jc w:val="left"/>
            </w:pPr>
            <w:r>
              <w:rPr>
                <w:rFonts w:ascii="Times New Roman" w:hAnsi="Times New Roman" w:cs="Times New Roman"/>
                <w:b w:val="0"/>
                <w:i w:val="0"/>
                <w:color w:val="1E293B"/>
                <w:sz w:val="19"/>
              </w:rPr>
              <w:t>35.0 - 64.9</w:t>
            </w:r>
          </w:p>
        </w:tc>
        <w:tc>
          <w:tcPr>
            <w:tcW w:type="dxa" w:w="4320"/>
          </w:tcPr>
          <w:p>
            <w:pPr>
              <w:jc w:val="left"/>
            </w:pPr>
            <w:r>
              <w:rPr>
                <w:rFonts w:ascii="Times New Roman" w:hAnsi="Times New Roman" w:cs="Times New Roman"/>
                <w:b w:val="0"/>
                <w:i w:val="0"/>
                <w:color w:val="1E293B"/>
                <w:sz w:val="19"/>
              </w:rPr>
              <w:t>Anomalous indicators present (new domain, mismatched reply-to). Queued for tier-1 analyst review.</w:t>
            </w:r>
          </w:p>
        </w:tc>
      </w:tr>
      <w:tr>
        <w:tc>
          <w:tcPr>
            <w:tcW w:type="dxa" w:w="2592"/>
          </w:tcPr>
          <w:p>
            <w:pPr>
              <w:jc w:val="left"/>
            </w:pPr>
            <w:r>
              <w:rPr>
                <w:rFonts w:ascii="Times New Roman" w:hAnsi="Times New Roman" w:cs="Times New Roman"/>
                <w:b w:val="0"/>
                <w:i w:val="0"/>
                <w:color w:val="1E293B"/>
                <w:sz w:val="19"/>
              </w:rPr>
              <w:t>SAFE</w:t>
            </w:r>
          </w:p>
        </w:tc>
        <w:tc>
          <w:tcPr>
            <w:tcW w:type="dxa" w:w="2016"/>
          </w:tcPr>
          <w:p>
            <w:pPr>
              <w:jc w:val="left"/>
            </w:pPr>
            <w:r>
              <w:rPr>
                <w:rFonts w:ascii="Times New Roman" w:hAnsi="Times New Roman" w:cs="Times New Roman"/>
                <w:b w:val="0"/>
                <w:i w:val="0"/>
                <w:color w:val="1E293B"/>
                <w:sz w:val="19"/>
              </w:rPr>
              <w:t>0.0 - 34.9</w:t>
            </w:r>
          </w:p>
        </w:tc>
        <w:tc>
          <w:tcPr>
            <w:tcW w:type="dxa" w:w="4320"/>
          </w:tcPr>
          <w:p>
            <w:pPr>
              <w:jc w:val="left"/>
            </w:pPr>
            <w:r>
              <w:rPr>
                <w:rFonts w:ascii="Times New Roman" w:hAnsi="Times New Roman" w:cs="Times New Roman"/>
                <w:b w:val="0"/>
                <w:i w:val="0"/>
                <w:color w:val="1E293B"/>
                <w:sz w:val="19"/>
              </w:rPr>
              <w:t>Standard legitimate communication. Verified domain authentication, no deceptive urgency.</w:t>
            </w:r>
          </w:p>
        </w:tc>
      </w:tr>
    </w:tbl>
    <w:p>
      <w:pPr>
        <w:spacing w:after="140"/>
      </w:pPr>
    </w:p>
    <w:p>
      <w:pPr>
        <w:pStyle w:val="Heading3"/>
        <w:jc w:val="left"/>
        <w:spacing w:before="180" w:after="80"/>
      </w:pPr>
      <w:r>
        <w:rPr>
          <w:rFonts w:ascii="Times New Roman" w:hAnsi="Times New Roman" w:cs="Times New Roman"/>
          <w:b/>
          <w:i w:val="0"/>
          <w:sz w:val="26"/>
        </w:rPr>
        <w:t>3.2.5 Incident Management &amp; MITRE ATT&amp;CK Mapping</w:t>
      </w:r>
    </w:p>
    <w:p>
      <w:pPr>
        <w:jc w:val="both"/>
        <w:spacing w:before="0" w:after="140" w:line="300" w:lineRule="auto"/>
      </w:pPr>
      <w:r>
        <w:rPr>
          <w:rFonts w:ascii="Times New Roman" w:hAnsi="Times New Roman" w:cs="Times New Roman"/>
          <w:b w:val="0"/>
          <w:i w:val="0"/>
          <w:sz w:val="24"/>
        </w:rPr>
        <w:t>Every vulnerable simulation outcome and critical external threat is automatically converted into a structured DBIncident record. The MITREMapper correlates observed techniques to standardized MITRE ATT&amp;CK matrices as summarized in Table 3.2.</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2256"/>
        <w:gridCol w:w="2256"/>
        <w:gridCol w:w="2256"/>
        <w:gridCol w:w="2256"/>
      </w:tblGrid>
      <w:tr>
        <w:tc>
          <w:tcPr>
            <w:tcW w:type="dxa" w:w="1728"/>
            <w:shd w:val="clear" w:color="auto" w:fill="D9E2F3"/>
          </w:tcPr>
          <w:p>
            <w:pPr>
              <w:jc w:val="left"/>
            </w:pPr>
            <w:r>
              <w:rPr>
                <w:rFonts w:ascii="Times New Roman" w:hAnsi="Times New Roman" w:cs="Times New Roman"/>
                <w:b/>
                <w:i w:val="0"/>
                <w:color w:val="0F172A"/>
                <w:sz w:val="20"/>
              </w:rPr>
              <w:t>MITRE ID</w:t>
            </w:r>
          </w:p>
        </w:tc>
        <w:tc>
          <w:tcPr>
            <w:tcW w:type="dxa" w:w="2592"/>
            <w:shd w:val="clear" w:color="auto" w:fill="D9E2F3"/>
          </w:tcPr>
          <w:p>
            <w:pPr>
              <w:jc w:val="left"/>
            </w:pPr>
            <w:r>
              <w:rPr>
                <w:rFonts w:ascii="Times New Roman" w:hAnsi="Times New Roman" w:cs="Times New Roman"/>
                <w:b/>
                <w:i w:val="0"/>
                <w:color w:val="0F172A"/>
                <w:sz w:val="20"/>
              </w:rPr>
              <w:t>Technique Name</w:t>
            </w:r>
          </w:p>
        </w:tc>
        <w:tc>
          <w:tcPr>
            <w:tcW w:type="dxa" w:w="2016"/>
            <w:shd w:val="clear" w:color="auto" w:fill="D9E2F3"/>
          </w:tcPr>
          <w:p>
            <w:pPr>
              <w:jc w:val="left"/>
            </w:pPr>
            <w:r>
              <w:rPr>
                <w:rFonts w:ascii="Times New Roman" w:hAnsi="Times New Roman" w:cs="Times New Roman"/>
                <w:b/>
                <w:i w:val="0"/>
                <w:color w:val="0F172A"/>
                <w:sz w:val="20"/>
              </w:rPr>
              <w:t>Tactic</w:t>
            </w:r>
          </w:p>
        </w:tc>
        <w:tc>
          <w:tcPr>
            <w:tcW w:type="dxa" w:w="2592"/>
            <w:shd w:val="clear" w:color="auto" w:fill="D9E2F3"/>
          </w:tcPr>
          <w:p>
            <w:pPr>
              <w:jc w:val="left"/>
            </w:pPr>
            <w:r>
              <w:rPr>
                <w:rFonts w:ascii="Times New Roman" w:hAnsi="Times New Roman" w:cs="Times New Roman"/>
                <w:b/>
                <w:i w:val="0"/>
                <w:color w:val="0F172A"/>
                <w:sz w:val="20"/>
              </w:rPr>
              <w:t>SemanticShield AI Detection Trigger</w:t>
            </w:r>
          </w:p>
        </w:tc>
      </w:tr>
      <w:tr>
        <w:tc>
          <w:tcPr>
            <w:tcW w:type="dxa" w:w="1728"/>
          </w:tcPr>
          <w:p>
            <w:pPr>
              <w:jc w:val="left"/>
            </w:pPr>
            <w:r>
              <w:rPr>
                <w:rFonts w:ascii="Times New Roman" w:hAnsi="Times New Roman" w:cs="Times New Roman"/>
                <w:b w:val="0"/>
                <w:i w:val="0"/>
                <w:color w:val="1E293B"/>
                <w:sz w:val="19"/>
              </w:rPr>
              <w:t>T1566</w:t>
            </w:r>
          </w:p>
        </w:tc>
        <w:tc>
          <w:tcPr>
            <w:tcW w:type="dxa" w:w="2592"/>
          </w:tcPr>
          <w:p>
            <w:pPr>
              <w:jc w:val="left"/>
            </w:pPr>
            <w:r>
              <w:rPr>
                <w:rFonts w:ascii="Times New Roman" w:hAnsi="Times New Roman" w:cs="Times New Roman"/>
                <w:b w:val="0"/>
                <w:i w:val="0"/>
                <w:color w:val="1E293B"/>
                <w:sz w:val="19"/>
              </w:rPr>
              <w:t>Phishing</w:t>
            </w:r>
          </w:p>
        </w:tc>
        <w:tc>
          <w:tcPr>
            <w:tcW w:type="dxa" w:w="2016"/>
          </w:tcPr>
          <w:p>
            <w:pPr>
              <w:jc w:val="left"/>
            </w:pPr>
            <w:r>
              <w:rPr>
                <w:rFonts w:ascii="Times New Roman" w:hAnsi="Times New Roman" w:cs="Times New Roman"/>
                <w:b w:val="0"/>
                <w:i w:val="0"/>
                <w:color w:val="1E293B"/>
                <w:sz w:val="19"/>
              </w:rPr>
              <w:t>Initial Access</w:t>
            </w:r>
          </w:p>
        </w:tc>
        <w:tc>
          <w:tcPr>
            <w:tcW w:type="dxa" w:w="2592"/>
          </w:tcPr>
          <w:p>
            <w:pPr>
              <w:jc w:val="left"/>
            </w:pPr>
            <w:r>
              <w:rPr>
                <w:rFonts w:ascii="Times New Roman" w:hAnsi="Times New Roman" w:cs="Times New Roman"/>
                <w:b w:val="0"/>
                <w:i w:val="0"/>
                <w:color w:val="1E293B"/>
                <w:sz w:val="19"/>
              </w:rPr>
              <w:t>General social engineering payload delivered via email/web</w:t>
            </w:r>
          </w:p>
        </w:tc>
      </w:tr>
      <w:tr>
        <w:tc>
          <w:tcPr>
            <w:tcW w:type="dxa" w:w="1728"/>
          </w:tcPr>
          <w:p>
            <w:pPr>
              <w:jc w:val="left"/>
            </w:pPr>
            <w:r>
              <w:rPr>
                <w:rFonts w:ascii="Times New Roman" w:hAnsi="Times New Roman" w:cs="Times New Roman"/>
                <w:b w:val="0"/>
                <w:i w:val="0"/>
                <w:color w:val="1E293B"/>
                <w:sz w:val="19"/>
              </w:rPr>
              <w:t>T1566.002</w:t>
            </w:r>
          </w:p>
        </w:tc>
        <w:tc>
          <w:tcPr>
            <w:tcW w:type="dxa" w:w="2592"/>
          </w:tcPr>
          <w:p>
            <w:pPr>
              <w:jc w:val="left"/>
            </w:pPr>
            <w:r>
              <w:rPr>
                <w:rFonts w:ascii="Times New Roman" w:hAnsi="Times New Roman" w:cs="Times New Roman"/>
                <w:b w:val="0"/>
                <w:i w:val="0"/>
                <w:color w:val="1E293B"/>
                <w:sz w:val="19"/>
              </w:rPr>
              <w:t>Spearphishing Link</w:t>
            </w:r>
          </w:p>
        </w:tc>
        <w:tc>
          <w:tcPr>
            <w:tcW w:type="dxa" w:w="2016"/>
          </w:tcPr>
          <w:p>
            <w:pPr>
              <w:jc w:val="left"/>
            </w:pPr>
            <w:r>
              <w:rPr>
                <w:rFonts w:ascii="Times New Roman" w:hAnsi="Times New Roman" w:cs="Times New Roman"/>
                <w:b w:val="0"/>
                <w:i w:val="0"/>
                <w:color w:val="1E293B"/>
                <w:sz w:val="19"/>
              </w:rPr>
              <w:t>Initial Access</w:t>
            </w:r>
          </w:p>
        </w:tc>
        <w:tc>
          <w:tcPr>
            <w:tcW w:type="dxa" w:w="2592"/>
          </w:tcPr>
          <w:p>
            <w:pPr>
              <w:jc w:val="left"/>
            </w:pPr>
            <w:r>
              <w:rPr>
                <w:rFonts w:ascii="Times New Roman" w:hAnsi="Times New Roman" w:cs="Times New Roman"/>
                <w:b w:val="0"/>
                <w:i w:val="0"/>
                <w:color w:val="1E293B"/>
                <w:sz w:val="19"/>
              </w:rPr>
              <w:t>Deceptive hyperlink targeting credential harvesting portals</w:t>
            </w:r>
          </w:p>
        </w:tc>
      </w:tr>
      <w:tr>
        <w:tc>
          <w:tcPr>
            <w:tcW w:type="dxa" w:w="1728"/>
          </w:tcPr>
          <w:p>
            <w:pPr>
              <w:jc w:val="left"/>
            </w:pPr>
            <w:r>
              <w:rPr>
                <w:rFonts w:ascii="Times New Roman" w:hAnsi="Times New Roman" w:cs="Times New Roman"/>
                <w:b w:val="0"/>
                <w:i w:val="0"/>
                <w:color w:val="1E293B"/>
                <w:sz w:val="19"/>
              </w:rPr>
              <w:t>T1566.003</w:t>
            </w:r>
          </w:p>
        </w:tc>
        <w:tc>
          <w:tcPr>
            <w:tcW w:type="dxa" w:w="2592"/>
          </w:tcPr>
          <w:p>
            <w:pPr>
              <w:jc w:val="left"/>
            </w:pPr>
            <w:r>
              <w:rPr>
                <w:rFonts w:ascii="Times New Roman" w:hAnsi="Times New Roman" w:cs="Times New Roman"/>
                <w:b w:val="0"/>
                <w:i w:val="0"/>
                <w:color w:val="1E293B"/>
                <w:sz w:val="19"/>
              </w:rPr>
              <w:t>Spearphishing via Service</w:t>
            </w:r>
          </w:p>
        </w:tc>
        <w:tc>
          <w:tcPr>
            <w:tcW w:type="dxa" w:w="2016"/>
          </w:tcPr>
          <w:p>
            <w:pPr>
              <w:jc w:val="left"/>
            </w:pPr>
            <w:r>
              <w:rPr>
                <w:rFonts w:ascii="Times New Roman" w:hAnsi="Times New Roman" w:cs="Times New Roman"/>
                <w:b w:val="0"/>
                <w:i w:val="0"/>
                <w:color w:val="1E293B"/>
                <w:sz w:val="19"/>
              </w:rPr>
              <w:t>Initial Access</w:t>
            </w:r>
          </w:p>
        </w:tc>
        <w:tc>
          <w:tcPr>
            <w:tcW w:type="dxa" w:w="2592"/>
          </w:tcPr>
          <w:p>
            <w:pPr>
              <w:jc w:val="left"/>
            </w:pPr>
            <w:r>
              <w:rPr>
                <w:rFonts w:ascii="Times New Roman" w:hAnsi="Times New Roman" w:cs="Times New Roman"/>
                <w:b w:val="0"/>
                <w:i w:val="0"/>
                <w:color w:val="1E293B"/>
                <w:sz w:val="19"/>
              </w:rPr>
              <w:t>Embedded QR codes (quishing) or third-party storage links</w:t>
            </w:r>
          </w:p>
        </w:tc>
      </w:tr>
      <w:tr>
        <w:tc>
          <w:tcPr>
            <w:tcW w:type="dxa" w:w="1728"/>
          </w:tcPr>
          <w:p>
            <w:pPr>
              <w:jc w:val="left"/>
            </w:pPr>
            <w:r>
              <w:rPr>
                <w:rFonts w:ascii="Times New Roman" w:hAnsi="Times New Roman" w:cs="Times New Roman"/>
                <w:b w:val="0"/>
                <w:i w:val="0"/>
                <w:color w:val="1E293B"/>
                <w:sz w:val="19"/>
              </w:rPr>
              <w:t>T1204.002</w:t>
            </w:r>
          </w:p>
        </w:tc>
        <w:tc>
          <w:tcPr>
            <w:tcW w:type="dxa" w:w="2592"/>
          </w:tcPr>
          <w:p>
            <w:pPr>
              <w:jc w:val="left"/>
            </w:pPr>
            <w:r>
              <w:rPr>
                <w:rFonts w:ascii="Times New Roman" w:hAnsi="Times New Roman" w:cs="Times New Roman"/>
                <w:b w:val="0"/>
                <w:i w:val="0"/>
                <w:color w:val="1E293B"/>
                <w:sz w:val="19"/>
              </w:rPr>
              <w:t>Malicious File</w:t>
            </w:r>
          </w:p>
        </w:tc>
        <w:tc>
          <w:tcPr>
            <w:tcW w:type="dxa" w:w="2016"/>
          </w:tcPr>
          <w:p>
            <w:pPr>
              <w:jc w:val="left"/>
            </w:pPr>
            <w:r>
              <w:rPr>
                <w:rFonts w:ascii="Times New Roman" w:hAnsi="Times New Roman" w:cs="Times New Roman"/>
                <w:b w:val="0"/>
                <w:i w:val="0"/>
                <w:color w:val="1E293B"/>
                <w:sz w:val="19"/>
              </w:rPr>
              <w:t>Execution</w:t>
            </w:r>
          </w:p>
        </w:tc>
        <w:tc>
          <w:tcPr>
            <w:tcW w:type="dxa" w:w="2592"/>
          </w:tcPr>
          <w:p>
            <w:pPr>
              <w:jc w:val="left"/>
            </w:pPr>
            <w:r>
              <w:rPr>
                <w:rFonts w:ascii="Times New Roman" w:hAnsi="Times New Roman" w:cs="Times New Roman"/>
                <w:b w:val="0"/>
                <w:i w:val="0"/>
                <w:color w:val="1E293B"/>
                <w:sz w:val="19"/>
              </w:rPr>
              <w:t>Unverified attachments with double extensions or macro pretexts</w:t>
            </w:r>
          </w:p>
        </w:tc>
      </w:tr>
      <w:tr>
        <w:tc>
          <w:tcPr>
            <w:tcW w:type="dxa" w:w="1728"/>
          </w:tcPr>
          <w:p>
            <w:pPr>
              <w:jc w:val="left"/>
            </w:pPr>
            <w:r>
              <w:rPr>
                <w:rFonts w:ascii="Times New Roman" w:hAnsi="Times New Roman" w:cs="Times New Roman"/>
                <w:b w:val="0"/>
                <w:i w:val="0"/>
                <w:color w:val="1E293B"/>
                <w:sz w:val="19"/>
              </w:rPr>
              <w:t>T1556</w:t>
            </w:r>
          </w:p>
        </w:tc>
        <w:tc>
          <w:tcPr>
            <w:tcW w:type="dxa" w:w="2592"/>
          </w:tcPr>
          <w:p>
            <w:pPr>
              <w:jc w:val="left"/>
            </w:pPr>
            <w:r>
              <w:rPr>
                <w:rFonts w:ascii="Times New Roman" w:hAnsi="Times New Roman" w:cs="Times New Roman"/>
                <w:b w:val="0"/>
                <w:i w:val="0"/>
                <w:color w:val="1E293B"/>
                <w:sz w:val="19"/>
              </w:rPr>
              <w:t>Modify Auth Process</w:t>
            </w:r>
          </w:p>
        </w:tc>
        <w:tc>
          <w:tcPr>
            <w:tcW w:type="dxa" w:w="2016"/>
          </w:tcPr>
          <w:p>
            <w:pPr>
              <w:jc w:val="left"/>
            </w:pPr>
            <w:r>
              <w:rPr>
                <w:rFonts w:ascii="Times New Roman" w:hAnsi="Times New Roman" w:cs="Times New Roman"/>
                <w:b w:val="0"/>
                <w:i w:val="0"/>
                <w:color w:val="1E293B"/>
                <w:sz w:val="19"/>
              </w:rPr>
              <w:t>Credential Access</w:t>
            </w:r>
          </w:p>
        </w:tc>
        <w:tc>
          <w:tcPr>
            <w:tcW w:type="dxa" w:w="2592"/>
          </w:tcPr>
          <w:p>
            <w:pPr>
              <w:jc w:val="left"/>
            </w:pPr>
            <w:r>
              <w:rPr>
                <w:rFonts w:ascii="Times New Roman" w:hAnsi="Times New Roman" w:cs="Times New Roman"/>
                <w:b w:val="0"/>
                <w:i w:val="0"/>
                <w:color w:val="1E293B"/>
                <w:sz w:val="19"/>
              </w:rPr>
              <w:t>Adversary-in-the-Middle (AiTM) proxy links targeting MFA sessions</w:t>
            </w:r>
          </w:p>
        </w:tc>
      </w:tr>
      <w:tr>
        <w:tc>
          <w:tcPr>
            <w:tcW w:type="dxa" w:w="1728"/>
          </w:tcPr>
          <w:p>
            <w:pPr>
              <w:jc w:val="left"/>
            </w:pPr>
            <w:r>
              <w:rPr>
                <w:rFonts w:ascii="Times New Roman" w:hAnsi="Times New Roman" w:cs="Times New Roman"/>
                <w:b w:val="0"/>
                <w:i w:val="0"/>
                <w:color w:val="1E293B"/>
                <w:sz w:val="19"/>
              </w:rPr>
              <w:t>T1539</w:t>
            </w:r>
          </w:p>
        </w:tc>
        <w:tc>
          <w:tcPr>
            <w:tcW w:type="dxa" w:w="2592"/>
          </w:tcPr>
          <w:p>
            <w:pPr>
              <w:jc w:val="left"/>
            </w:pPr>
            <w:r>
              <w:rPr>
                <w:rFonts w:ascii="Times New Roman" w:hAnsi="Times New Roman" w:cs="Times New Roman"/>
                <w:b w:val="0"/>
                <w:i w:val="0"/>
                <w:color w:val="1E293B"/>
                <w:sz w:val="19"/>
              </w:rPr>
              <w:t>Steal Web Session Cookie</w:t>
            </w:r>
          </w:p>
        </w:tc>
        <w:tc>
          <w:tcPr>
            <w:tcW w:type="dxa" w:w="2016"/>
          </w:tcPr>
          <w:p>
            <w:pPr>
              <w:jc w:val="left"/>
            </w:pPr>
            <w:r>
              <w:rPr>
                <w:rFonts w:ascii="Times New Roman" w:hAnsi="Times New Roman" w:cs="Times New Roman"/>
                <w:b w:val="0"/>
                <w:i w:val="0"/>
                <w:color w:val="1E293B"/>
                <w:sz w:val="19"/>
              </w:rPr>
              <w:t>Credential Access</w:t>
            </w:r>
          </w:p>
        </w:tc>
        <w:tc>
          <w:tcPr>
            <w:tcW w:type="dxa" w:w="2592"/>
          </w:tcPr>
          <w:p>
            <w:pPr>
              <w:jc w:val="left"/>
            </w:pPr>
            <w:r>
              <w:rPr>
                <w:rFonts w:ascii="Times New Roman" w:hAnsi="Times New Roman" w:cs="Times New Roman"/>
                <w:b w:val="0"/>
                <w:i w:val="0"/>
                <w:color w:val="1E293B"/>
                <w:sz w:val="19"/>
              </w:rPr>
              <w:t>Credential harvesting forms attempting session hijacking</w:t>
            </w:r>
          </w:p>
        </w:tc>
      </w:tr>
    </w:tbl>
    <w:p>
      <w:pPr>
        <w:spacing w:after="140"/>
      </w:pPr>
    </w:p>
    <w:p>
      <w:pPr>
        <w:jc w:val="both"/>
        <w:spacing w:before="0" w:after="140" w:line="300" w:lineRule="auto"/>
      </w:pPr>
      <w:r>
        <w:rPr>
          <w:rFonts w:ascii="Times New Roman" w:hAnsi="Times New Roman" w:cs="Times New Roman"/>
          <w:b w:val="0"/>
          <w:i w:val="0"/>
          <w:sz w:val="24"/>
        </w:rPr>
        <w:t>Algorithm 1 illustrates the end-to-end processing pipeline executed by the platform.</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Algorithm 1 — Phishing Simulation &amp; Threat Analysis Pipeline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function execute_simulation_and_triage(request):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validate(request.scenario, request.employee_role, request.behavior_profile)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sim_id = generate_uuid('SIM-')</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system_prompt = get_behavioral_prompt(request.behavior_profile)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user_message = build_user_context(request.email_subject, request.email_body)</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stream = gemini_client.stream_generate(system_prompt, user_message)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accumulated_reasoning =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for chunk in stream:</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accumulated_reasoning += chunk.text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yield_to_client(chunk.text)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decision = regex_extract(accumulated_reasoning, pattern=r'\[(VULNERABLE|SAFE)\]')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agent_vector = [evaluate_semantic(), evaluate_behavior(), evaluate_url_intel()]</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risk_assessment = risk_engine.calculate_risk(agent_vector, apply_floors=True)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if decision == 'VULNERABLE' or risk_assessment.score &gt;= 65:</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incident = incident_manager.create_incident(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title=f'Simulation Compromise: {request.scenario}',</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severity=risk_assessment.risk_level,</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mitre_tags=mitre_mapper.map(agent_vector)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websocket_manager.broadcast('incidents', incident)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db_session.save_simulation(sim_id, decision, risk_assessment.score, accumulated_reasoning)</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websocket_manager.broadcast('dashboard', {'metric_update': 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return finalize_response(sim_id, decision, risk_assessment)</w:t>
      </w:r>
    </w:p>
    <w:p>
      <w:pPr>
        <w:spacing w:after="120"/>
      </w:pPr>
    </w:p>
    <w:p>
      <w:pPr>
        <w:pStyle w:val="Heading2"/>
        <w:jc w:val="left"/>
        <w:spacing w:before="240" w:after="120"/>
      </w:pPr>
      <w:r>
        <w:rPr>
          <w:rFonts w:ascii="Times New Roman" w:hAnsi="Times New Roman" w:cs="Times New Roman"/>
          <w:b/>
          <w:i w:val="0"/>
          <w:sz w:val="28"/>
        </w:rPr>
        <w:t>3.3 Project Architecture</w:t>
      </w:r>
    </w:p>
    <w:p>
      <w:pPr>
        <w:jc w:val="both"/>
        <w:spacing w:before="0" w:after="140" w:line="300" w:lineRule="auto"/>
      </w:pPr>
      <w:r>
        <w:rPr>
          <w:rFonts w:ascii="Times New Roman" w:hAnsi="Times New Roman" w:cs="Times New Roman"/>
          <w:b w:val="0"/>
          <w:i w:val="0"/>
          <w:sz w:val="24"/>
        </w:rPr>
        <w:t>SemanticShield AI follows an event-driven, three-tier client-server architecture. Fig. 1 illustrates the relationship between presentation components, ingress routing, application services, and persistent datastores.</w:t>
      </w:r>
    </w:p>
    <w:p>
      <w:pPr>
        <w:jc w:val="center"/>
        <w:spacing w:before="120" w:after="60"/>
      </w:pPr>
      <w:r>
        <w:drawing>
          <wp:inline xmlns:a="http://schemas.openxmlformats.org/drawingml/2006/main" xmlns:pic="http://schemas.openxmlformats.org/drawingml/2006/picture">
            <wp:extent cx="5577840" cy="3411689"/>
            <wp:docPr id="2040844852" name="Picture 2040844852"/>
            <wp:cNvGraphicFramePr>
              <a:graphicFrameLocks noChangeAspect="1"/>
            </wp:cNvGraphicFramePr>
            <a:graphic>
              <a:graphicData uri="http://schemas.openxmlformats.org/drawingml/2006/picture">
                <pic:pic>
                  <pic:nvPicPr>
                    <pic:cNvPr id="0" name="fig1_architecture.png"/>
                    <pic:cNvPicPr/>
                  </pic:nvPicPr>
                  <pic:blipFill>
                    <a:blip r:embed="rId27"/>
                    <a:stretch>
                      <a:fillRect/>
                    </a:stretch>
                  </pic:blipFill>
                  <pic:spPr>
                    <a:xfrm>
                      <a:off x="0" y="0"/>
                      <a:ext cx="5577840" cy="3411689"/>
                    </a:xfrm>
                    <a:prstGeom prst="rect"/>
                  </pic:spPr>
                </pic:pic>
              </a:graphicData>
            </a:graphic>
          </wp:inline>
        </w:drawing>
      </w:r>
    </w:p>
    <w:p>
      <w:pPr>
        <w:jc w:val="center"/>
        <w:spacing w:before="40" w:after="200"/>
      </w:pPr>
      <w:r>
        <w:rPr>
          <w:rFonts w:ascii="Times New Roman" w:hAnsi="Times New Roman" w:cs="Times New Roman"/>
          <w:b/>
          <w:i w:val="0"/>
          <w:color w:val="0F172A"/>
          <w:sz w:val="22"/>
        </w:rPr>
        <w:t>Fig. 1  Architectural Diagram of the SemanticShield AI Platform</w:t>
      </w:r>
    </w:p>
    <w:p>
      <w:pPr>
        <w:pStyle w:val="Heading3"/>
        <w:jc w:val="left"/>
        <w:spacing w:before="180" w:after="80"/>
      </w:pPr>
      <w:r>
        <w:rPr>
          <w:rFonts w:ascii="Times New Roman" w:hAnsi="Times New Roman" w:cs="Times New Roman"/>
          <w:b/>
          <w:i w:val="0"/>
          <w:sz w:val="26"/>
        </w:rPr>
        <w:t>3.3.1 Architectural Diagram</w:t>
      </w:r>
    </w:p>
    <w:p>
      <w:pPr>
        <w:jc w:val="both"/>
        <w:spacing w:before="0" w:after="140" w:line="300" w:lineRule="auto"/>
      </w:pPr>
      <w:r>
        <w:rPr>
          <w:rFonts w:ascii="Times New Roman" w:hAnsi="Times New Roman" w:cs="Times New Roman"/>
          <w:b w:val="0"/>
          <w:i w:val="0"/>
          <w:sz w:val="24"/>
        </w:rPr>
        <w:t>Presentation Layer: A single-page application built with React 18, Vite, and TypeScript. It hosts the Offensive AI Simulation Sandbox (/admin/simulator), the Defensive AI Scanning Portal (/dashboard), the Incident Management Console (/admin/incidents), and the SOC Analytics Dashboard (/admin/analytics). The browser extension (extension/) provides background perimeter web scanning.</w:t>
      </w:r>
    </w:p>
    <w:p>
      <w:pPr>
        <w:jc w:val="both"/>
        <w:spacing w:before="0" w:after="140" w:line="300" w:lineRule="auto"/>
      </w:pPr>
      <w:r>
        <w:rPr>
          <w:rFonts w:ascii="Times New Roman" w:hAnsi="Times New Roman" w:cs="Times New Roman"/>
          <w:b w:val="0"/>
          <w:i w:val="0"/>
          <w:sz w:val="24"/>
        </w:rPr>
        <w:t>Ingress &amp; Transport Layer: The FastAPI REST router exposes versioned API endpoints (/api/v1). An asynchronous WebSocket manager maintains five dedicated broadcast channels, pushing live telemetry updates directly to connected browser clients.</w:t>
      </w:r>
    </w:p>
    <w:p>
      <w:pPr>
        <w:jc w:val="both"/>
        <w:spacing w:before="0" w:after="140" w:line="300" w:lineRule="auto"/>
      </w:pPr>
      <w:r>
        <w:rPr>
          <w:rFonts w:ascii="Times New Roman" w:hAnsi="Times New Roman" w:cs="Times New Roman"/>
          <w:b w:val="0"/>
          <w:i w:val="0"/>
          <w:sz w:val="24"/>
        </w:rPr>
        <w:t>Application &amp; Core Intelligence Layer: Contains the PhishingSimulationEngine, SupervisorAgent, Multi-Agent analysis suite, RiskEngine, IncidentManager, ThreatIntelligenceManager, and ReportingEngine. This layer manages all business logic and enforces the generative-deterministic separation.</w:t>
      </w:r>
    </w:p>
    <w:p>
      <w:pPr>
        <w:jc w:val="both"/>
        <w:spacing w:before="0" w:after="140" w:line="300" w:lineRule="auto"/>
      </w:pPr>
      <w:r>
        <w:rPr>
          <w:rFonts w:ascii="Times New Roman" w:hAnsi="Times New Roman" w:cs="Times New Roman"/>
          <w:b w:val="0"/>
          <w:i w:val="0"/>
          <w:sz w:val="24"/>
        </w:rPr>
        <w:t>Data &amp; External Layer: SQLAlchemy 2.0 ORM manages relational persistence to SQLite (backend/semanticshield.db) with Alembic migration versioning. External communication connects to the Google GenAI API for model inference and third-party threat intelligence APIs with deterministic mock fallbacks.</w:t>
      </w:r>
    </w:p>
    <w:p>
      <w:pPr>
        <w:pStyle w:val="Heading3"/>
        <w:jc w:val="left"/>
        <w:spacing w:before="180" w:after="80"/>
      </w:pPr>
      <w:r>
        <w:rPr>
          <w:rFonts w:ascii="Times New Roman" w:hAnsi="Times New Roman" w:cs="Times New Roman"/>
          <w:b/>
          <w:i w:val="0"/>
          <w:sz w:val="26"/>
        </w:rPr>
        <w:t>3.3.2 Data Flow Diagram</w:t>
      </w:r>
    </w:p>
    <w:p>
      <w:pPr>
        <w:jc w:val="both"/>
        <w:spacing w:before="0" w:after="140" w:line="300" w:lineRule="auto"/>
      </w:pPr>
      <w:r>
        <w:rPr>
          <w:rFonts w:ascii="Times New Roman" w:hAnsi="Times New Roman" w:cs="Times New Roman"/>
          <w:b w:val="0"/>
          <w:i w:val="0"/>
          <w:sz w:val="24"/>
        </w:rPr>
        <w:t>Fig. 2 presents the logical data flow diagram illustrating how security telemetry moves between external entities, processing stages, and persistent data stores.</w:t>
      </w:r>
    </w:p>
    <w:p>
      <w:pPr>
        <w:jc w:val="center"/>
        <w:spacing w:before="120" w:after="60"/>
      </w:pPr>
      <w:r>
        <w:drawing>
          <wp:inline xmlns:a="http://schemas.openxmlformats.org/drawingml/2006/main" xmlns:pic="http://schemas.openxmlformats.org/drawingml/2006/picture">
            <wp:extent cx="5577840" cy="2921201"/>
            <wp:docPr id="2040844853" name="Picture 2040844853"/>
            <wp:cNvGraphicFramePr>
              <a:graphicFrameLocks noChangeAspect="1"/>
            </wp:cNvGraphicFramePr>
            <a:graphic>
              <a:graphicData uri="http://schemas.openxmlformats.org/drawingml/2006/picture">
                <pic:pic>
                  <pic:nvPicPr>
                    <pic:cNvPr id="0" name="fig2_data_flow.png"/>
                    <pic:cNvPicPr/>
                  </pic:nvPicPr>
                  <pic:blipFill>
                    <a:blip r:embed="rId28"/>
                    <a:stretch>
                      <a:fillRect/>
                    </a:stretch>
                  </pic:blipFill>
                  <pic:spPr>
                    <a:xfrm>
                      <a:off x="0" y="0"/>
                      <a:ext cx="5577840" cy="2921201"/>
                    </a:xfrm>
                    <a:prstGeom prst="rect"/>
                  </pic:spPr>
                </pic:pic>
              </a:graphicData>
            </a:graphic>
          </wp:inline>
        </w:drawing>
      </w:r>
    </w:p>
    <w:p>
      <w:pPr>
        <w:jc w:val="center"/>
        <w:spacing w:before="40" w:after="200"/>
      </w:pPr>
      <w:r>
        <w:rPr>
          <w:rFonts w:ascii="Times New Roman" w:hAnsi="Times New Roman" w:cs="Times New Roman"/>
          <w:b/>
          <w:i w:val="0"/>
          <w:color w:val="0F172A"/>
          <w:sz w:val="22"/>
        </w:rPr>
        <w:t>Fig. 2  Data Flow Diagram of the SemanticShield AI Platform</w:t>
      </w:r>
    </w:p>
    <w:p>
      <w:pPr>
        <w:jc w:val="both"/>
        <w:spacing w:before="0" w:after="140" w:line="300" w:lineRule="auto"/>
      </w:pPr>
      <w:r>
        <w:rPr>
          <w:rFonts w:ascii="Times New Roman" w:hAnsi="Times New Roman" w:cs="Times New Roman"/>
          <w:b w:val="0"/>
          <w:i w:val="0"/>
          <w:sz w:val="24"/>
        </w:rPr>
        <w:t>The Security Administrator configures scenario parameters in Process 1.0; Process 2.0 streams prompts to Google Gemini; Process 3.0 extracts decision tags; Process 4.0 executes multi-agent threat evaluation and calculates the composite risk score; Process 5.0 instantiates managed incident records with MITRE mappings; and Process 6.0 streams live updates across WebSockets and exports multi-format reports. Simulation records, incident histories, and activity events are persisted to data stores D1, D2, and D3 respectively.</w:t>
      </w:r>
    </w:p>
    <w:p>
      <w:pPr>
        <w:pStyle w:val="Heading3"/>
        <w:jc w:val="left"/>
        <w:spacing w:before="180" w:after="80"/>
      </w:pPr>
      <w:r>
        <w:rPr>
          <w:rFonts w:ascii="Times New Roman" w:hAnsi="Times New Roman" w:cs="Times New Roman"/>
          <w:b/>
          <w:i w:val="0"/>
          <w:sz w:val="26"/>
        </w:rPr>
        <w:t>3.3.3 Sequence Diagram</w:t>
      </w:r>
    </w:p>
    <w:p>
      <w:pPr>
        <w:jc w:val="both"/>
        <w:spacing w:before="0" w:after="140" w:line="300" w:lineRule="auto"/>
      </w:pPr>
      <w:r>
        <w:rPr>
          <w:rFonts w:ascii="Times New Roman" w:hAnsi="Times New Roman" w:cs="Times New Roman"/>
          <w:b w:val="0"/>
          <w:i w:val="0"/>
          <w:sz w:val="24"/>
        </w:rPr>
        <w:t>The sequence diagram in Fig. 3 depicts the chronological message exchange across system lifelines during an automated simulation run.</w:t>
      </w:r>
    </w:p>
    <w:p>
      <w:pPr>
        <w:jc w:val="center"/>
        <w:spacing w:before="120" w:after="60"/>
      </w:pPr>
      <w:r>
        <w:drawing>
          <wp:inline xmlns:a="http://schemas.openxmlformats.org/drawingml/2006/main" xmlns:pic="http://schemas.openxmlformats.org/drawingml/2006/picture">
            <wp:extent cx="5577840" cy="3284302"/>
            <wp:docPr id="2040844854" name="Picture 2040844854"/>
            <wp:cNvGraphicFramePr>
              <a:graphicFrameLocks noChangeAspect="1"/>
            </wp:cNvGraphicFramePr>
            <a:graphic>
              <a:graphicData uri="http://schemas.openxmlformats.org/drawingml/2006/picture">
                <pic:pic>
                  <pic:nvPicPr>
                    <pic:cNvPr id="0" name="fig3_sequence.png"/>
                    <pic:cNvPicPr/>
                  </pic:nvPicPr>
                  <pic:blipFill>
                    <a:blip r:embed="rId29"/>
                    <a:stretch>
                      <a:fillRect/>
                    </a:stretch>
                  </pic:blipFill>
                  <pic:spPr>
                    <a:xfrm>
                      <a:off x="0" y="0"/>
                      <a:ext cx="5577840" cy="3284302"/>
                    </a:xfrm>
                    <a:prstGeom prst="rect"/>
                  </pic:spPr>
                </pic:pic>
              </a:graphicData>
            </a:graphic>
          </wp:inline>
        </w:drawing>
      </w:r>
    </w:p>
    <w:p>
      <w:pPr>
        <w:jc w:val="center"/>
        <w:spacing w:before="40" w:after="200"/>
      </w:pPr>
      <w:r>
        <w:rPr>
          <w:rFonts w:ascii="Times New Roman" w:hAnsi="Times New Roman" w:cs="Times New Roman"/>
          <w:b/>
          <w:i w:val="0"/>
          <w:color w:val="0F172A"/>
          <w:sz w:val="22"/>
        </w:rPr>
        <w:t>Fig. 3  Sequence Diagram of the SemanticShield AI Platform</w:t>
      </w:r>
    </w:p>
    <w:p>
      <w:pPr>
        <w:jc w:val="both"/>
        <w:spacing w:before="0" w:after="140" w:line="300" w:lineRule="auto"/>
      </w:pPr>
      <w:r>
        <w:rPr>
          <w:rFonts w:ascii="Times New Roman" w:hAnsi="Times New Roman" w:cs="Times New Roman"/>
          <w:b w:val="0"/>
          <w:i w:val="0"/>
          <w:sz w:val="24"/>
        </w:rPr>
        <w:t>The sequence initiates when the administrator triggers a POST simulation request. The backend delegates execution to the PhishingSimulationEngine, which streams persona reasoning via the Gemini API, extracts decision tags, evaluates risk via the RiskEngine, instantiates an incident in SQLite, and broadcasts real-time WebSocket events to the analyst console.</w:t>
      </w:r>
    </w:p>
    <w:p>
      <w:pPr>
        <w:pStyle w:val="Heading3"/>
        <w:jc w:val="left"/>
        <w:spacing w:before="180" w:after="80"/>
      </w:pPr>
      <w:r>
        <w:rPr>
          <w:rFonts w:ascii="Times New Roman" w:hAnsi="Times New Roman" w:cs="Times New Roman"/>
          <w:b/>
          <w:i w:val="0"/>
          <w:sz w:val="26"/>
        </w:rPr>
        <w:t>3.3.4 Phishing Simulation &amp; Threat Analysis Lifecycle</w:t>
      </w:r>
    </w:p>
    <w:p>
      <w:pPr>
        <w:jc w:val="both"/>
        <w:spacing w:before="0" w:after="140" w:line="300" w:lineRule="auto"/>
      </w:pPr>
      <w:r>
        <w:rPr>
          <w:rFonts w:ascii="Times New Roman" w:hAnsi="Times New Roman" w:cs="Times New Roman"/>
          <w:b w:val="0"/>
          <w:i w:val="0"/>
          <w:sz w:val="24"/>
        </w:rPr>
        <w:t>Fig. 4 summarizes the continuous eight-stage processing pipeline through which every simulated event is processed, from initial scenario ingestion to final export.</w:t>
      </w:r>
    </w:p>
    <w:p>
      <w:pPr>
        <w:jc w:val="center"/>
        <w:spacing w:before="120" w:after="60"/>
      </w:pPr>
      <w:r>
        <w:drawing>
          <wp:inline xmlns:a="http://schemas.openxmlformats.org/drawingml/2006/main" xmlns:pic="http://schemas.openxmlformats.org/drawingml/2006/picture">
            <wp:extent cx="5577840" cy="1407998"/>
            <wp:docPr id="2040844855" name="Picture 2040844855"/>
            <wp:cNvGraphicFramePr>
              <a:graphicFrameLocks noChangeAspect="1"/>
            </wp:cNvGraphicFramePr>
            <a:graphic>
              <a:graphicData uri="http://schemas.openxmlformats.org/drawingml/2006/picture">
                <pic:pic>
                  <pic:nvPicPr>
                    <pic:cNvPr id="0" name="fig4_lifecycle.png"/>
                    <pic:cNvPicPr/>
                  </pic:nvPicPr>
                  <pic:blipFill>
                    <a:blip r:embed="rId30"/>
                    <a:stretch>
                      <a:fillRect/>
                    </a:stretch>
                  </pic:blipFill>
                  <pic:spPr>
                    <a:xfrm>
                      <a:off x="0" y="0"/>
                      <a:ext cx="5577840" cy="1407998"/>
                    </a:xfrm>
                    <a:prstGeom prst="rect"/>
                  </pic:spPr>
                </pic:pic>
              </a:graphicData>
            </a:graphic>
          </wp:inline>
        </w:drawing>
      </w:r>
    </w:p>
    <w:p>
      <w:pPr>
        <w:jc w:val="center"/>
        <w:spacing w:before="40" w:after="200"/>
      </w:pPr>
      <w:r>
        <w:rPr>
          <w:rFonts w:ascii="Times New Roman" w:hAnsi="Times New Roman" w:cs="Times New Roman"/>
          <w:b/>
          <w:i w:val="0"/>
          <w:color w:val="0F172A"/>
          <w:sz w:val="22"/>
        </w:rPr>
        <w:t>Fig. 4  SemanticShield AI Threat Simulation &amp; Analysis Lifecycle</w:t>
      </w:r>
    </w:p>
    <w:p>
      <w:pPr>
        <w:pStyle w:val="Heading3"/>
        <w:jc w:val="left"/>
        <w:spacing w:before="180" w:after="80"/>
      </w:pPr>
      <w:r>
        <w:rPr>
          <w:rFonts w:ascii="Times New Roman" w:hAnsi="Times New Roman" w:cs="Times New Roman"/>
          <w:b/>
          <w:i w:val="0"/>
          <w:sz w:val="26"/>
        </w:rPr>
        <w:t>3.3.5 Deployment Architecture</w:t>
      </w:r>
    </w:p>
    <w:p>
      <w:pPr>
        <w:jc w:val="both"/>
        <w:spacing w:before="0" w:after="140" w:line="300" w:lineRule="auto"/>
      </w:pPr>
      <w:r>
        <w:rPr>
          <w:rFonts w:ascii="Times New Roman" w:hAnsi="Times New Roman" w:cs="Times New Roman"/>
          <w:b w:val="0"/>
          <w:i w:val="0"/>
          <w:sz w:val="24"/>
        </w:rPr>
        <w:t>SemanticShield AI is architected for local workstation deployment, providing an inspectable, isolated research environment without complex external infrastructure. Fig. 5 illustrates the deployment topology.</w:t>
      </w:r>
    </w:p>
    <w:p>
      <w:pPr>
        <w:jc w:val="center"/>
        <w:spacing w:before="120" w:after="60"/>
      </w:pPr>
      <w:r>
        <w:drawing>
          <wp:inline xmlns:a="http://schemas.openxmlformats.org/drawingml/2006/main" xmlns:pic="http://schemas.openxmlformats.org/drawingml/2006/picture">
            <wp:extent cx="5577840" cy="2491074"/>
            <wp:docPr id="2040844856" name="Picture 2040844856"/>
            <wp:cNvGraphicFramePr>
              <a:graphicFrameLocks noChangeAspect="1"/>
            </wp:cNvGraphicFramePr>
            <a:graphic>
              <a:graphicData uri="http://schemas.openxmlformats.org/drawingml/2006/picture">
                <pic:pic>
                  <pic:nvPicPr>
                    <pic:cNvPr id="0" name="fig5_deployment.png"/>
                    <pic:cNvPicPr/>
                  </pic:nvPicPr>
                  <pic:blipFill>
                    <a:blip r:embed="rId31"/>
                    <a:stretch>
                      <a:fillRect/>
                    </a:stretch>
                  </pic:blipFill>
                  <pic:spPr>
                    <a:xfrm>
                      <a:off x="0" y="0"/>
                      <a:ext cx="5577840" cy="2491074"/>
                    </a:xfrm>
                    <a:prstGeom prst="rect"/>
                  </pic:spPr>
                </pic:pic>
              </a:graphicData>
            </a:graphic>
          </wp:inline>
        </w:drawing>
      </w:r>
    </w:p>
    <w:p>
      <w:pPr>
        <w:jc w:val="center"/>
        <w:spacing w:before="40" w:after="200"/>
      </w:pPr>
      <w:r>
        <w:rPr>
          <w:rFonts w:ascii="Times New Roman" w:hAnsi="Times New Roman" w:cs="Times New Roman"/>
          <w:b/>
          <w:i w:val="0"/>
          <w:color w:val="0F172A"/>
          <w:sz w:val="22"/>
        </w:rPr>
        <w:t>Fig. 5  Deployment Architecture of SemanticShield AI</w:t>
      </w:r>
    </w:p>
    <w:p>
      <w:pPr>
        <w:jc w:val="both"/>
        <w:spacing w:before="0" w:after="140" w:line="300" w:lineRule="auto"/>
      </w:pPr>
      <w:r>
        <w:rPr>
          <w:rFonts w:ascii="Times New Roman" w:hAnsi="Times New Roman" w:cs="Times New Roman"/>
          <w:b w:val="0"/>
          <w:i w:val="0"/>
          <w:sz w:val="24"/>
        </w:rPr>
        <w:t>The React 18 single-page application is served locally via Vite development server on port 5173. The FastAPI application server runs on Uvicorn on port 8000, managing SQLite persistence at backend/semanticshield.db. Outbound HTTPS calls connect to Google Gemini APIs, while third-party threat intelligence lookups operate with local mock fallbacks to prevent rate limits.</w:t>
      </w:r>
    </w:p>
    <w:p>
      <w:pPr>
        <w:pStyle w:val="Heading1"/>
        <w:jc w:val="center"/>
        <w:pageBreakBefore/>
        <w:spacing w:before="0" w:after="60"/>
      </w:pPr>
      <w:r>
        <w:rPr>
          <w:rFonts w:ascii="Times New Roman" w:hAnsi="Times New Roman" w:cs="Times New Roman"/>
          <w:b/>
          <w:i w:val="0"/>
          <w:sz w:val="30"/>
        </w:rPr>
        <w:t>CHAPTER - 4</w:t>
      </w:r>
    </w:p>
    <w:p>
      <w:pPr>
        <w:jc w:val="center"/>
        <w:spacing w:before="0" w:after="240"/>
      </w:pPr>
      <w:r>
        <w:rPr>
          <w:rFonts w:ascii="Times New Roman" w:hAnsi="Times New Roman" w:cs="Times New Roman"/>
          <w:b/>
          <w:i w:val="0"/>
          <w:sz w:val="30"/>
        </w:rPr>
        <w:t>APPLICATION CODE</w:t>
      </w:r>
    </w:p>
    <w:p>
      <w:pPr>
        <w:pStyle w:val="Heading2"/>
        <w:jc w:val="left"/>
        <w:spacing w:before="240" w:after="120"/>
      </w:pPr>
      <w:r>
        <w:rPr>
          <w:rFonts w:ascii="Times New Roman" w:hAnsi="Times New Roman" w:cs="Times New Roman"/>
          <w:b/>
          <w:i w:val="0"/>
          <w:sz w:val="28"/>
        </w:rPr>
        <w:t>4.1 Coding Blocks (Frontend &amp; Backend Code)</w:t>
      </w:r>
    </w:p>
    <w:p>
      <w:pPr>
        <w:jc w:val="both"/>
        <w:spacing w:before="0" w:after="140" w:line="300" w:lineRule="auto"/>
      </w:pPr>
      <w:r>
        <w:rPr>
          <w:rFonts w:ascii="Times New Roman" w:hAnsi="Times New Roman" w:cs="Times New Roman"/>
          <w:b w:val="0"/>
          <w:i w:val="0"/>
          <w:sz w:val="24"/>
        </w:rPr>
        <w:t>This section presents representative code excerpts and configuration blocks that define how the SemanticShield AI platform is implemented, structured, and executed. The full source code is organized under a modular Clean Architecture repository layout.</w:t>
      </w:r>
    </w:p>
    <w:p>
      <w:pPr>
        <w:pStyle w:val="Heading3"/>
        <w:jc w:val="left"/>
        <w:spacing w:before="180" w:after="80"/>
      </w:pPr>
      <w:r>
        <w:rPr>
          <w:rFonts w:ascii="Times New Roman" w:hAnsi="Times New Roman" w:cs="Times New Roman"/>
          <w:b/>
          <w:i w:val="0"/>
          <w:sz w:val="26"/>
        </w:rPr>
        <w:t>4.1.1 Repository Structure</w:t>
      </w:r>
    </w:p>
    <w:p>
      <w:pPr>
        <w:jc w:val="both"/>
        <w:spacing w:before="0" w:after="140" w:line="300" w:lineRule="auto"/>
      </w:pPr>
      <w:r>
        <w:rPr>
          <w:rFonts w:ascii="Times New Roman" w:hAnsi="Times New Roman" w:cs="Times New Roman"/>
          <w:b w:val="0"/>
          <w:i w:val="0"/>
          <w:sz w:val="24"/>
        </w:rPr>
        <w:t>The project layout enforces strict separation between backend domain models, service orchestrators, frontend components, and test automation suites: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SemanticShield_AI/</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backend/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alembic/                 # Versioned database schema migrations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app/</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agents/              # Specialized threat analysis agents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 heuristics/      # URL entropy, homoglyphs, keywords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 semantic_agent.py, behavior_agent.py, impersonation_agent.py</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api/v1/endpoints/    # REST routes (phishing_simulation, threat, incidents)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core/                # Configuration, settings, security middleware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domain/              # Entities, Pydantic models, interface protocols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engines/             # RiskEngine (40/25/35 weighted scoring)</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orchestrator/        # SupervisorAgent concurrent multi-agent coordinator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schemas/             # Pydantic v2 request/response schemas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services/            # Phishing simulation, threat intel, incidents, WS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utils/               # IoC extractors, domain helpers, reputation tools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tests/                   # Integration benchmark suites (test_accuracy_benchmark.py)</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requirements.txt         # Backend Python dependencies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main.py                  # FastAPI application entrypoint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frontend/                    # React 18 / Vite SPA</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src/</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components/admin/    # IncidentTable, Drawer, StatsCard, ActivityFeed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contexts/            # DashboardContext and WebSocket state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pages/               # Simulator, Incidents, Analytics, UserDashboard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 services/            # API client and WebSocket handlers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package.json             # Frontend Node.js dependencies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 tailwind.config.js       # Modern security dashboard styling tokens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extension/                   # SemanticShield Web Guard Chrome Extension (Manifest V3)</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paper/data/                  # results_all.csv (84 live experimental runs)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figures/                     # 300 DPI evaluation charts</w:t>
      </w:r>
    </w:p>
    <w:p>
      <w:pPr>
        <w:spacing w:after="120"/>
      </w:pPr>
    </w:p>
    <w:p>
      <w:pPr>
        <w:pStyle w:val="Heading3"/>
        <w:jc w:val="left"/>
        <w:spacing w:before="180" w:after="80"/>
      </w:pPr>
      <w:r>
        <w:rPr>
          <w:rFonts w:ascii="Times New Roman" w:hAnsi="Times New Roman" w:cs="Times New Roman"/>
          <w:b/>
          <w:i w:val="0"/>
          <w:sz w:val="26"/>
        </w:rPr>
        <w:t>4.1.2 Environment Configuration</w:t>
      </w:r>
    </w:p>
    <w:p>
      <w:pPr>
        <w:jc w:val="both"/>
        <w:spacing w:before="0" w:after="140" w:line="300" w:lineRule="auto"/>
      </w:pPr>
      <w:r>
        <w:rPr>
          <w:rFonts w:ascii="Times New Roman" w:hAnsi="Times New Roman" w:cs="Times New Roman"/>
          <w:b w:val="0"/>
          <w:i w:val="0"/>
          <w:sz w:val="24"/>
        </w:rPr>
        <w:t>Sensitive configuration values, model keys, and database connection strings are loaded exclusively from environment variables using python-dotenv and validated through Pydantic settings. Real API keys are never hard-coded in the repository.</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backend/.env (Configuration Template)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ENVIRONMENT=development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DEBUG=True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PORT=8000</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HOST=127.0.0.1</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Google Gemini API Configuration</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GEMINI_API_KEY=AIzaSyD_EXAMPLE_KEY_REDACTED_FOR_SECURITY</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Threat Intelligence Provider API Keys (Optional: fallbacks to mock mode if omitted)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VIRUSTOTAL_API_KEY=vt_sec_example_key_placeholder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ABUSEIPDB_API_KEY=abuse_sec_example_key_placeholder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URLSCAN_API_KEY=urlscan_example_key_placeholder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WHOIS_API_KEY=whois_example_key_placeholder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Threat Intel Engine Cache &amp; Fallback Settings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THREAT_INTEL_CACHE_TTL=3600</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THREAT_INTEL_MOCK_MODE=True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Database Persistence Configuration</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DATABASE_URL=sqlite:///./semanticshield.db</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DATABASE_AUTO_MIGRATE=True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Security &amp; CORS Whitelist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ALLOWED_ORIGINS=http://localhost:5173,http://127.0.0.1:5173,chrome-extension://*</w:t>
      </w:r>
    </w:p>
    <w:p>
      <w:pPr>
        <w:spacing w:after="120"/>
      </w:pPr>
    </w:p>
    <w:p>
      <w:pPr>
        <w:pStyle w:val="Heading3"/>
        <w:jc w:val="left"/>
        <w:spacing w:before="180" w:after="80"/>
      </w:pPr>
      <w:r>
        <w:rPr>
          <w:rFonts w:ascii="Times New Roman" w:hAnsi="Times New Roman" w:cs="Times New Roman"/>
          <w:b/>
          <w:i w:val="0"/>
          <w:sz w:val="26"/>
        </w:rPr>
        <w:t>4.1.3 Database Configuration Logic &amp; SQLAlchemy Models</w:t>
      </w:r>
    </w:p>
    <w:p>
      <w:pPr>
        <w:jc w:val="both"/>
        <w:spacing w:before="0" w:after="140" w:line="300" w:lineRule="auto"/>
      </w:pPr>
      <w:r>
        <w:rPr>
          <w:rFonts w:ascii="Times New Roman" w:hAnsi="Times New Roman" w:cs="Times New Roman"/>
          <w:b w:val="0"/>
          <w:i w:val="0"/>
          <w:sz w:val="24"/>
        </w:rPr>
        <w:t>The persistence layer utilizes SQLAlchemy 2.0 declarative models backed by SQLite storage. The schema maintains relational models for simulation telemetry (DBSimulation) and enterprise security incidents (DBIncident).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backend/app/services/storage/models.py (Excerpts)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from sqlalchemy import Column, Integer, String, Text, Boolean, Float, DateTime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from sqlalchemy.orm import declarative_base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from datetime import datetime, timezone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Base = declarative_base()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class DBSimulation(Base):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__tablename__ = 'simulations'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id = Column(Integer, primary_key=True, autoincrement=True)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simulation_id = Column(String(64), unique=True, nullable=False, index=True)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timestamp = Column(String(64),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scenario_type = Column(String(128),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employee_role = Column(String(128),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behavior_profile = Column(String(128),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email_subject = Column(Text,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email_body = Column(Text,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agent_reasoning = Column(Text,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agent_decision = Column(String(32), nullable=False)  # VULNERABLE or SAFE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threat_category = Column(String(128), nullable=True)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threat_severity = Column(String(32), nullable=True)  # DANGEROUS, SUSPICIOUS, SAFE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confidence_score = Column(Integer, nullable=True)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duration_seconds = Column(Float, nullable=True)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created_at = Column(DateTime, default=lambda: datetime.now(timezone.utc))</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class DBIncident(Base):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__tablename__ = 'incidents'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id = Column(Integer, primary_key=True, autoincrement=True)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incident_id = Column(String(64), unique=True, nullable=False, index=True)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title = Column(String(255),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threat_type = Column(String(128), nullable=False)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severity = Column(String(32), nullable=False)        # Critical, High, Medium, Low</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priority = Column(String(16), nullable=False)        # P1, P2, P3, P4</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status = Column(String(32), nullable=False, default='New')</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risk_score = Column(Integer, default=0)</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confidence_score = Column(Integer, default=0)</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mitre_mappings = Column(Text, nullable=True)         # JSON-serialized technique list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iocs_identified = Column(Text, nullable=True)        # JSON-serialized IoC list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timeline = Column(Text, nullable=True)               # JSON-serialized audit events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created_at = Column(DateTime, default=lambda: datetime.now(timezone.utc))</w:t>
      </w:r>
    </w:p>
    <w:p>
      <w:pPr>
        <w:spacing w:after="120"/>
      </w:pPr>
    </w:p>
    <w:p>
      <w:pPr>
        <w:pStyle w:val="Heading3"/>
        <w:jc w:val="left"/>
        <w:spacing w:before="180" w:after="80"/>
      </w:pPr>
      <w:r>
        <w:rPr>
          <w:rFonts w:ascii="Times New Roman" w:hAnsi="Times New Roman" w:cs="Times New Roman"/>
          <w:b/>
          <w:i w:val="0"/>
          <w:sz w:val="26"/>
        </w:rPr>
        <w:t>4.1.4 Frontend Real-Time WebSocket Client</w:t>
      </w:r>
    </w:p>
    <w:p>
      <w:pPr>
        <w:jc w:val="both"/>
        <w:spacing w:before="0" w:after="140" w:line="300" w:lineRule="auto"/>
      </w:pPr>
      <w:r>
        <w:rPr>
          <w:rFonts w:ascii="Times New Roman" w:hAnsi="Times New Roman" w:cs="Times New Roman"/>
          <w:b w:val="0"/>
          <w:i w:val="0"/>
          <w:sz w:val="24"/>
        </w:rPr>
        <w:t>The React frontend connects to the backend WebSocket hub upon mounting. Incoming JSON messages trigger live state updates across dashboards without requiring manual page refreshes or polling intervals.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frontend/src/hooks/useRealtimeDashboard.ts (Conceptual Client Logic)</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const wsBaseUrl = import.meta.env.VITE_WS_BASE_URL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`${window.location.protocol === 'https:' ? 'wss:' : 'ws:'}//${window.location.host}`;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export function useRealtimeDashboard()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const { updateIncidents, updateActivityFeed, updateStats } = useDashboard();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useEffect(() =&gt;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const socket = new WebSocket(`${wsBaseUrl}/ws/incidents`);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socket.onmessage = (event) =&gt;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const payload = JSON.parse(event.data);</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if (payload.event_type === 'incident_created')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updateIncidents(payload.data);</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playAlertNotification(payload.data.severity);</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 else if (payload.event_type === 'metric_update')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updateStats();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socket.onerror = (err) =&gt; console.warn('WebSocket disconnected. Reconnecting...', err);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return () =&gt; socket.close();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w:t>
      </w:r>
    </w:p>
    <w:p>
      <w:pPr>
        <w:spacing w:after="120"/>
      </w:pPr>
    </w:p>
    <w:p>
      <w:pPr>
        <w:pStyle w:val="Heading3"/>
        <w:jc w:val="left"/>
        <w:spacing w:before="180" w:after="80"/>
      </w:pPr>
      <w:r>
        <w:rPr>
          <w:rFonts w:ascii="Times New Roman" w:hAnsi="Times New Roman" w:cs="Times New Roman"/>
          <w:b/>
          <w:i w:val="0"/>
          <w:sz w:val="26"/>
        </w:rPr>
        <w:t>4.1.5 Principal API Endpoints</w:t>
      </w:r>
    </w:p>
    <w:p>
      <w:pPr>
        <w:jc w:val="both"/>
        <w:spacing w:before="0" w:after="140" w:line="300" w:lineRule="auto"/>
      </w:pPr>
      <w:r>
        <w:rPr>
          <w:rFonts w:ascii="Times New Roman" w:hAnsi="Times New Roman" w:cs="Times New Roman"/>
          <w:b w:val="0"/>
          <w:i w:val="0"/>
          <w:sz w:val="24"/>
        </w:rPr>
        <w:t>The FastAPI backend exposes 24 structured REST and WebSocket endpoints supporting offensive simulation, threat scanning, incident handling, and report generation. Table 4.1 summarizes the core operational routes.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3009"/>
        <w:gridCol w:w="3009"/>
        <w:gridCol w:w="3009"/>
      </w:tblGrid>
      <w:tr>
        <w:tc>
          <w:tcPr>
            <w:tcW w:type="dxa" w:w="1440"/>
            <w:shd w:val="clear" w:color="auto" w:fill="D9E2F3"/>
          </w:tcPr>
          <w:p>
            <w:pPr>
              <w:jc w:val="left"/>
            </w:pPr>
            <w:r>
              <w:rPr>
                <w:rFonts w:ascii="Times New Roman" w:hAnsi="Times New Roman" w:cs="Times New Roman"/>
                <w:b/>
                <w:i w:val="0"/>
                <w:color w:val="0F172A"/>
                <w:sz w:val="20"/>
              </w:rPr>
              <w:t>HTTP Method</w:t>
            </w:r>
          </w:p>
        </w:tc>
        <w:tc>
          <w:tcPr>
            <w:tcW w:type="dxa" w:w="3600"/>
            <w:shd w:val="clear" w:color="auto" w:fill="D9E2F3"/>
          </w:tcPr>
          <w:p>
            <w:pPr>
              <w:jc w:val="left"/>
            </w:pPr>
            <w:r>
              <w:rPr>
                <w:rFonts w:ascii="Times New Roman" w:hAnsi="Times New Roman" w:cs="Times New Roman"/>
                <w:b/>
                <w:i w:val="0"/>
                <w:color w:val="0F172A"/>
                <w:sz w:val="20"/>
              </w:rPr>
              <w:t>API Route Path</w:t>
            </w:r>
          </w:p>
        </w:tc>
        <w:tc>
          <w:tcPr>
            <w:tcW w:type="dxa" w:w="3888"/>
            <w:shd w:val="clear" w:color="auto" w:fill="D9E2F3"/>
          </w:tcPr>
          <w:p>
            <w:pPr>
              <w:jc w:val="left"/>
            </w:pPr>
            <w:r>
              <w:rPr>
                <w:rFonts w:ascii="Times New Roman" w:hAnsi="Times New Roman" w:cs="Times New Roman"/>
                <w:b/>
                <w:i w:val="0"/>
                <w:color w:val="0F172A"/>
                <w:sz w:val="20"/>
              </w:rPr>
              <w:t>Operational Role / Description</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/api/v1/phishing-simulation/simulate</w:t>
            </w:r>
          </w:p>
        </w:tc>
        <w:tc>
          <w:tcPr>
            <w:tcW w:type="dxa" w:w="3888"/>
          </w:tcPr>
          <w:p>
            <w:pPr>
              <w:jc w:val="left"/>
            </w:pPr>
            <w:r>
              <w:rPr>
                <w:rFonts w:ascii="Times New Roman" w:hAnsi="Times New Roman" w:cs="Times New Roman"/>
                <w:b w:val="0"/>
                <w:i w:val="0"/>
                <w:color w:val="1E293B"/>
                <w:sz w:val="19"/>
              </w:rPr>
              <w:t>Executes behavioral employee phishing simulation with streaming reasoning</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/api/v1/analyze (and /analyze)</w:t>
            </w:r>
          </w:p>
        </w:tc>
        <w:tc>
          <w:tcPr>
            <w:tcW w:type="dxa" w:w="3888"/>
          </w:tcPr>
          <w:p>
            <w:pPr>
              <w:jc w:val="left"/>
            </w:pPr>
            <w:r>
              <w:rPr>
                <w:rFonts w:ascii="Times New Roman" w:hAnsi="Times New Roman" w:cs="Times New Roman"/>
                <w:b w:val="0"/>
                <w:i w:val="0"/>
                <w:color w:val="1E293B"/>
                <w:sz w:val="19"/>
              </w:rPr>
              <w:t>Main multi-agent threat analysis pipeline for URLs and text pretexts</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/api/v1/threat/analyze</w:t>
            </w:r>
          </w:p>
        </w:tc>
        <w:tc>
          <w:tcPr>
            <w:tcW w:type="dxa" w:w="3888"/>
          </w:tcPr>
          <w:p>
            <w:pPr>
              <w:jc w:val="left"/>
            </w:pPr>
            <w:r>
              <w:rPr>
                <w:rFonts w:ascii="Times New Roman" w:hAnsi="Times New Roman" w:cs="Times New Roman"/>
                <w:b w:val="0"/>
                <w:i w:val="0"/>
                <w:color w:val="1E293B"/>
                <w:sz w:val="19"/>
              </w:rPr>
              <w:t>Threat intelligence multi-provider reputation lookup across 5 services</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/api/v1/threat/url</w:t>
            </w:r>
          </w:p>
        </w:tc>
        <w:tc>
          <w:tcPr>
            <w:tcW w:type="dxa" w:w="3888"/>
          </w:tcPr>
          <w:p>
            <w:pPr>
              <w:jc w:val="left"/>
            </w:pPr>
            <w:r>
              <w:rPr>
                <w:rFonts w:ascii="Times New Roman" w:hAnsi="Times New Roman" w:cs="Times New Roman"/>
                <w:b w:val="0"/>
                <w:i w:val="0"/>
                <w:color w:val="1E293B"/>
                <w:sz w:val="19"/>
              </w:rPr>
              <w:t>URL-specific reputation and threat intelligence telemetry</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/api/v1/threat/ip</w:t>
            </w:r>
          </w:p>
        </w:tc>
        <w:tc>
          <w:tcPr>
            <w:tcW w:type="dxa" w:w="3888"/>
          </w:tcPr>
          <w:p>
            <w:pPr>
              <w:jc w:val="left"/>
            </w:pPr>
            <w:r>
              <w:rPr>
                <w:rFonts w:ascii="Times New Roman" w:hAnsi="Times New Roman" w:cs="Times New Roman"/>
                <w:b w:val="0"/>
                <w:i w:val="0"/>
                <w:color w:val="1E293B"/>
                <w:sz w:val="19"/>
              </w:rPr>
              <w:t>IP address geolocation, ASN, and abuse history lookup</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/api/v1/threat/domain</w:t>
            </w:r>
          </w:p>
        </w:tc>
        <w:tc>
          <w:tcPr>
            <w:tcW w:type="dxa" w:w="3888"/>
          </w:tcPr>
          <w:p>
            <w:pPr>
              <w:jc w:val="left"/>
            </w:pPr>
            <w:r>
              <w:rPr>
                <w:rFonts w:ascii="Times New Roman" w:hAnsi="Times New Roman" w:cs="Times New Roman"/>
                <w:b w:val="0"/>
                <w:i w:val="0"/>
                <w:color w:val="1E293B"/>
                <w:sz w:val="19"/>
              </w:rPr>
              <w:t>Domain WHOIS, RDAP registration, and DNS intelligence lookup</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/api/v1/threat/hash</w:t>
            </w:r>
          </w:p>
        </w:tc>
        <w:tc>
          <w:tcPr>
            <w:tcW w:type="dxa" w:w="3888"/>
          </w:tcPr>
          <w:p>
            <w:pPr>
              <w:jc w:val="left"/>
            </w:pPr>
            <w:r>
              <w:rPr>
                <w:rFonts w:ascii="Times New Roman" w:hAnsi="Times New Roman" w:cs="Times New Roman"/>
                <w:b w:val="0"/>
                <w:i w:val="0"/>
                <w:color w:val="1E293B"/>
                <w:sz w:val="19"/>
              </w:rPr>
              <w:t>File SHA-256 hash lookup across intelligence providers</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/api/v1/threat/providers</w:t>
            </w:r>
          </w:p>
        </w:tc>
        <w:tc>
          <w:tcPr>
            <w:tcW w:type="dxa" w:w="3888"/>
          </w:tcPr>
          <w:p>
            <w:pPr>
              <w:jc w:val="left"/>
            </w:pPr>
            <w:r>
              <w:rPr>
                <w:rFonts w:ascii="Times New Roman" w:hAnsi="Times New Roman" w:cs="Times New Roman"/>
                <w:b w:val="0"/>
                <w:i w:val="0"/>
                <w:color w:val="1E293B"/>
                <w:sz w:val="19"/>
              </w:rPr>
              <w:t>Provider health status, reachability, and response latency telemetry</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/api/v1/url/analyze</w:t>
            </w:r>
          </w:p>
        </w:tc>
        <w:tc>
          <w:tcPr>
            <w:tcW w:type="dxa" w:w="3888"/>
          </w:tcPr>
          <w:p>
            <w:pPr>
              <w:jc w:val="left"/>
            </w:pPr>
            <w:r>
              <w:rPr>
                <w:rFonts w:ascii="Times New Roman" w:hAnsi="Times New Roman" w:cs="Times New Roman"/>
                <w:b w:val="0"/>
                <w:i w:val="0"/>
                <w:color w:val="1E293B"/>
                <w:sz w:val="19"/>
              </w:rPr>
              <w:t>URL heuristic analysis: Shannon entropy, typosquatting, keywords</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/api/v1/email/analyze</w:t>
            </w:r>
          </w:p>
        </w:tc>
        <w:tc>
          <w:tcPr>
            <w:tcW w:type="dxa" w:w="3888"/>
          </w:tcPr>
          <w:p>
            <w:pPr>
              <w:jc w:val="left"/>
            </w:pPr>
            <w:r>
              <w:rPr>
                <w:rFonts w:ascii="Times New Roman" w:hAnsi="Times New Roman" w:cs="Times New Roman"/>
                <w:b w:val="0"/>
                <w:i w:val="0"/>
                <w:color w:val="1E293B"/>
                <w:sz w:val="19"/>
              </w:rPr>
              <w:t>MIME email analysis: SPF/DKIM/DMARC validation and QR extraction</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/api/v1/investigation/investigate</w:t>
            </w:r>
          </w:p>
        </w:tc>
        <w:tc>
          <w:tcPr>
            <w:tcW w:type="dxa" w:w="3888"/>
          </w:tcPr>
          <w:p>
            <w:pPr>
              <w:jc w:val="left"/>
            </w:pPr>
            <w:r>
              <w:rPr>
                <w:rFonts w:ascii="Times New Roman" w:hAnsi="Times New Roman" w:cs="Times New Roman"/>
                <w:b w:val="0"/>
                <w:i w:val="0"/>
                <w:color w:val="1E293B"/>
                <w:sz w:val="19"/>
              </w:rPr>
              <w:t>AI Security Copilot deep threat investigation and evidence correlation</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/api/v1/investigation/explain</w:t>
            </w:r>
          </w:p>
        </w:tc>
        <w:tc>
          <w:tcPr>
            <w:tcW w:type="dxa" w:w="3888"/>
          </w:tcPr>
          <w:p>
            <w:pPr>
              <w:jc w:val="left"/>
            </w:pPr>
            <w:r>
              <w:rPr>
                <w:rFonts w:ascii="Times New Roman" w:hAnsi="Times New Roman" w:cs="Times New Roman"/>
                <w:b w:val="0"/>
                <w:i w:val="0"/>
                <w:color w:val="1E293B"/>
                <w:sz w:val="19"/>
              </w:rPr>
              <w:t>Explainability engine returning human-readable threat rationale</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/api/v1/incidents</w:t>
            </w:r>
          </w:p>
        </w:tc>
        <w:tc>
          <w:tcPr>
            <w:tcW w:type="dxa" w:w="3888"/>
          </w:tcPr>
          <w:p>
            <w:pPr>
              <w:jc w:val="left"/>
            </w:pPr>
            <w:r>
              <w:rPr>
                <w:rFonts w:ascii="Times New Roman" w:hAnsi="Times New Roman" w:cs="Times New Roman"/>
                <w:b w:val="0"/>
                <w:i w:val="0"/>
                <w:color w:val="1E293B"/>
                <w:sz w:val="19"/>
              </w:rPr>
              <w:t>Retrieves active security incidents with filtering by severity/status</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/api/v1/incidents</w:t>
            </w:r>
          </w:p>
        </w:tc>
        <w:tc>
          <w:tcPr>
            <w:tcW w:type="dxa" w:w="3888"/>
          </w:tcPr>
          <w:p>
            <w:pPr>
              <w:jc w:val="left"/>
            </w:pPr>
            <w:r>
              <w:rPr>
                <w:rFonts w:ascii="Times New Roman" w:hAnsi="Times New Roman" w:cs="Times New Roman"/>
                <w:b w:val="0"/>
                <w:i w:val="0"/>
                <w:color w:val="1E293B"/>
                <w:sz w:val="19"/>
              </w:rPr>
              <w:t>Auto-creates or manually logs structured security incidents</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/api/v1/incidents/{id}</w:t>
            </w:r>
          </w:p>
        </w:tc>
        <w:tc>
          <w:tcPr>
            <w:tcW w:type="dxa" w:w="3888"/>
          </w:tcPr>
          <w:p>
            <w:pPr>
              <w:jc w:val="left"/>
            </w:pPr>
            <w:r>
              <w:rPr>
                <w:rFonts w:ascii="Times New Roman" w:hAnsi="Times New Roman" w:cs="Times New Roman"/>
                <w:b w:val="0"/>
                <w:i w:val="0"/>
                <w:color w:val="1E293B"/>
                <w:sz w:val="19"/>
              </w:rPr>
              <w:t>Retrieves complete incident dossier including audit timeline and notes</w:t>
            </w:r>
          </w:p>
        </w:tc>
      </w:tr>
      <w:tr>
        <w:tc>
          <w:tcPr>
            <w:tcW w:type="dxa" w:w="1440"/>
          </w:tcPr>
          <w:p>
            <w:pPr>
              <w:jc w:val="left"/>
            </w:pPr>
            <w:r>
              <w:rPr>
                <w:rFonts w:ascii="Times New Roman" w:hAnsi="Times New Roman" w:cs="Times New Roman"/>
                <w:b w:val="0"/>
                <w:i w:val="0"/>
                <w:color w:val="1E293B"/>
                <w:sz w:val="19"/>
              </w:rPr>
              <w:t>PATCH</w:t>
            </w:r>
          </w:p>
        </w:tc>
        <w:tc>
          <w:tcPr>
            <w:tcW w:type="dxa" w:w="3600"/>
          </w:tcPr>
          <w:p>
            <w:pPr>
              <w:jc w:val="left"/>
            </w:pPr>
            <w:r>
              <w:rPr>
                <w:rFonts w:ascii="Times New Roman" w:hAnsi="Times New Roman" w:cs="Times New Roman"/>
                <w:b w:val="0"/>
                <w:i w:val="0"/>
                <w:color w:val="1E293B"/>
                <w:sz w:val="19"/>
              </w:rPr>
              <w:t>/api/v1/incidents/{id}</w:t>
            </w:r>
          </w:p>
        </w:tc>
        <w:tc>
          <w:tcPr>
            <w:tcW w:type="dxa" w:w="3888"/>
          </w:tcPr>
          <w:p>
            <w:pPr>
              <w:jc w:val="left"/>
            </w:pPr>
            <w:r>
              <w:rPr>
                <w:rFonts w:ascii="Times New Roman" w:hAnsi="Times New Roman" w:cs="Times New Roman"/>
                <w:b w:val="0"/>
                <w:i w:val="0"/>
                <w:color w:val="1E293B"/>
                <w:sz w:val="19"/>
              </w:rPr>
              <w:t>Updates incident status (Investigating/Resolved) and analyst assignment</w:t>
            </w:r>
          </w:p>
        </w:tc>
      </w:tr>
      <w:tr>
        <w:tc>
          <w:tcPr>
            <w:tcW w:type="dxa" w:w="1440"/>
          </w:tcPr>
          <w:p>
            <w:pPr>
              <w:jc w:val="left"/>
            </w:pPr>
            <w:r>
              <w:rPr>
                <w:rFonts w:ascii="Times New Roman" w:hAnsi="Times New Roman" w:cs="Times New Roman"/>
                <w:b w:val="0"/>
                <w:i w:val="0"/>
                <w:color w:val="1E293B"/>
                <w:sz w:val="19"/>
              </w:rPr>
              <w:t>POST</w:t>
            </w:r>
          </w:p>
        </w:tc>
        <w:tc>
          <w:tcPr>
            <w:tcW w:type="dxa" w:w="3600"/>
          </w:tcPr>
          <w:p>
            <w:pPr>
              <w:jc w:val="left"/>
            </w:pPr>
            <w:r>
              <w:rPr>
                <w:rFonts w:ascii="Times New Roman" w:hAnsi="Times New Roman" w:cs="Times New Roman"/>
                <w:b w:val="0"/>
                <w:i w:val="0"/>
                <w:color w:val="1E293B"/>
                <w:sz w:val="19"/>
              </w:rPr>
              <w:t>/api/v1/reports/generate</w:t>
            </w:r>
          </w:p>
        </w:tc>
        <w:tc>
          <w:tcPr>
            <w:tcW w:type="dxa" w:w="3888"/>
          </w:tcPr>
          <w:p>
            <w:pPr>
              <w:jc w:val="left"/>
            </w:pPr>
            <w:r>
              <w:rPr>
                <w:rFonts w:ascii="Times New Roman" w:hAnsi="Times New Roman" w:cs="Times New Roman"/>
                <w:b w:val="0"/>
                <w:i w:val="0"/>
                <w:color w:val="1E293B"/>
                <w:sz w:val="19"/>
              </w:rPr>
              <w:t>Generates Executive, Technical, or SOC investigation reports</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/api/v1/reports/{id}/export</w:t>
            </w:r>
          </w:p>
        </w:tc>
        <w:tc>
          <w:tcPr>
            <w:tcW w:type="dxa" w:w="3888"/>
          </w:tcPr>
          <w:p>
            <w:pPr>
              <w:jc w:val="left"/>
            </w:pPr>
            <w:r>
              <w:rPr>
                <w:rFonts w:ascii="Times New Roman" w:hAnsi="Times New Roman" w:cs="Times New Roman"/>
                <w:b w:val="0"/>
                <w:i w:val="0"/>
                <w:color w:val="1E293B"/>
                <w:sz w:val="19"/>
              </w:rPr>
              <w:t>Exports reports into JSON, Markdown, CSV, or STIX 2.1 packages</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/api/v1/dashboard/metrics</w:t>
            </w:r>
          </w:p>
        </w:tc>
        <w:tc>
          <w:tcPr>
            <w:tcW w:type="dxa" w:w="3888"/>
          </w:tcPr>
          <w:p>
            <w:pPr>
              <w:jc w:val="left"/>
            </w:pPr>
            <w:r>
              <w:rPr>
                <w:rFonts w:ascii="Times New Roman" w:hAnsi="Times New Roman" w:cs="Times New Roman"/>
                <w:b w:val="0"/>
                <w:i w:val="0"/>
                <w:color w:val="1E293B"/>
                <w:sz w:val="19"/>
              </w:rPr>
              <w:t>Master SOC telemetry counters, threat distribution, and system vitals</w:t>
            </w:r>
          </w:p>
        </w:tc>
      </w:tr>
      <w:tr>
        <w:tc>
          <w:tcPr>
            <w:tcW w:type="dxa" w:w="1440"/>
          </w:tcPr>
          <w:p>
            <w:pPr>
              <w:jc w:val="left"/>
            </w:pPr>
            <w:r>
              <w:rPr>
                <w:rFonts w:ascii="Times New Roman" w:hAnsi="Times New Roman" w:cs="Times New Roman"/>
                <w:b w:val="0"/>
                <w:i w:val="0"/>
                <w:color w:val="1E293B"/>
                <w:sz w:val="19"/>
              </w:rPr>
              <w:t>GET</w:t>
            </w:r>
          </w:p>
        </w:tc>
        <w:tc>
          <w:tcPr>
            <w:tcW w:type="dxa" w:w="3600"/>
          </w:tcPr>
          <w:p>
            <w:pPr>
              <w:jc w:val="left"/>
            </w:pPr>
            <w:r>
              <w:rPr>
                <w:rFonts w:ascii="Times New Roman" w:hAnsi="Times New Roman" w:cs="Times New Roman"/>
                <w:b w:val="0"/>
                <w:i w:val="0"/>
                <w:color w:val="1E293B"/>
                <w:sz w:val="19"/>
              </w:rPr>
              <w:t>/api/v1/status (and /health)</w:t>
            </w:r>
          </w:p>
        </w:tc>
        <w:tc>
          <w:tcPr>
            <w:tcW w:type="dxa" w:w="3888"/>
          </w:tcPr>
          <w:p>
            <w:pPr>
              <w:jc w:val="left"/>
            </w:pPr>
            <w:r>
              <w:rPr>
                <w:rFonts w:ascii="Times New Roman" w:hAnsi="Times New Roman" w:cs="Times New Roman"/>
                <w:b w:val="0"/>
                <w:i w:val="0"/>
                <w:color w:val="1E293B"/>
                <w:sz w:val="19"/>
              </w:rPr>
              <w:t>System health check, database status, and active provider count</w:t>
            </w:r>
          </w:p>
        </w:tc>
      </w:tr>
      <w:tr>
        <w:tc>
          <w:tcPr>
            <w:tcW w:type="dxa" w:w="1440"/>
          </w:tcPr>
          <w:p>
            <w:pPr>
              <w:jc w:val="left"/>
            </w:pPr>
            <w:r>
              <w:rPr>
                <w:rFonts w:ascii="Times New Roman" w:hAnsi="Times New Roman" w:cs="Times New Roman"/>
                <w:b w:val="0"/>
                <w:i w:val="0"/>
                <w:color w:val="1E293B"/>
                <w:sz w:val="19"/>
              </w:rPr>
              <w:t>WS</w:t>
            </w:r>
          </w:p>
        </w:tc>
        <w:tc>
          <w:tcPr>
            <w:tcW w:type="dxa" w:w="3600"/>
          </w:tcPr>
          <w:p>
            <w:pPr>
              <w:jc w:val="left"/>
            </w:pPr>
            <w:r>
              <w:rPr>
                <w:rFonts w:ascii="Times New Roman" w:hAnsi="Times New Roman" w:cs="Times New Roman"/>
                <w:b w:val="0"/>
                <w:i w:val="0"/>
                <w:color w:val="1E293B"/>
                <w:sz w:val="19"/>
              </w:rPr>
              <w:t>/ws/{channel}</w:t>
            </w:r>
          </w:p>
        </w:tc>
        <w:tc>
          <w:tcPr>
            <w:tcW w:type="dxa" w:w="3888"/>
          </w:tcPr>
          <w:p>
            <w:pPr>
              <w:jc w:val="left"/>
            </w:pPr>
            <w:r>
              <w:rPr>
                <w:rFonts w:ascii="Times New Roman" w:hAnsi="Times New Roman" w:cs="Times New Roman"/>
                <w:b w:val="0"/>
                <w:i w:val="0"/>
                <w:color w:val="1E293B"/>
                <w:sz w:val="19"/>
              </w:rPr>
              <w:t>Real-time WebSocket streaming for dashboard, incidents, and activity feeds</w:t>
            </w:r>
          </w:p>
        </w:tc>
      </w:tr>
    </w:tbl>
    <w:p>
      <w:pPr>
        <w:spacing w:after="140"/>
      </w:pPr>
    </w:p>
    <w:p>
      <w:pPr>
        <w:pStyle w:val="Heading3"/>
        <w:jc w:val="left"/>
        <w:spacing w:before="180" w:after="80"/>
      </w:pPr>
      <w:r>
        <w:rPr>
          <w:rFonts w:ascii="Times New Roman" w:hAnsi="Times New Roman" w:cs="Times New Roman"/>
          <w:b/>
          <w:i w:val="0"/>
          <w:sz w:val="26"/>
        </w:rPr>
        <w:t>4.1.6 Running the Application</w:t>
      </w:r>
    </w:p>
    <w:p>
      <w:pPr>
        <w:jc w:val="both"/>
        <w:spacing w:before="0" w:after="140" w:line="300" w:lineRule="auto"/>
      </w:pPr>
      <w:r>
        <w:rPr>
          <w:rFonts w:ascii="Times New Roman" w:hAnsi="Times New Roman" w:cs="Times New Roman"/>
          <w:b w:val="0"/>
          <w:i w:val="0"/>
          <w:sz w:val="24"/>
        </w:rPr>
        <w:t>SemanticShield AI is executed locally using two terminal sessions: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Terminal 1: FastAPI Backend Application Server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cd backend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python -m venv venv</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.\venv\Scripts\activate            # Linux/macOS: source venv/bin/activate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pip install -r requirements.txt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cp .env.example .env</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python -m uvicorn app.main:app --reload --host 127.0.0.1 --port 8000</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Terminal 2: React 18 / Vite Development Server</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cd frontend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npm install</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npm run dev                           # Opens dashboard at http://localhost:5173</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Browser Extension Installation (Optional)</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1. Open Google Chrome -&gt; chrome://extensions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2. Enable 'Developer mode' toggle (top-right)</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3. Click 'Load unpacked' -&gt; Select the 'extension/' directory</w:t>
      </w:r>
    </w:p>
    <w:p>
      <w:pPr>
        <w:spacing w:after="120"/>
      </w:pPr>
    </w:p>
    <w:p>
      <w:pPr>
        <w:pStyle w:val="Heading3"/>
        <w:jc w:val="left"/>
        <w:spacing w:before="180" w:after="80"/>
      </w:pPr>
      <w:r>
        <w:rPr>
          <w:rFonts w:ascii="Times New Roman" w:hAnsi="Times New Roman" w:cs="Times New Roman"/>
          <w:b/>
          <w:i w:val="0"/>
          <w:sz w:val="26"/>
        </w:rPr>
        <w:t>4.1.7 Deployment Architecture &amp; Container Stack</w:t>
      </w:r>
    </w:p>
    <w:p>
      <w:pPr>
        <w:jc w:val="both"/>
        <w:spacing w:before="0" w:after="140" w:line="300" w:lineRule="auto"/>
      </w:pPr>
      <w:r>
        <w:rPr>
          <w:rFonts w:ascii="Times New Roman" w:hAnsi="Times New Roman" w:cs="Times New Roman"/>
          <w:b w:val="0"/>
          <w:i w:val="0"/>
          <w:sz w:val="24"/>
        </w:rPr>
        <w:t>Deployment status: the current system is operated in a local development environment. A multi-container Docker Compose staging architecture (PostgreSQL 15, FastAPI Uvicorn backend, and Nginx-served static React frontend) is in active preparation for future production deployment and is described honestly in Chapter 6.</w:t>
      </w:r>
    </w:p>
    <w:p>
      <w:pPr>
        <w:pStyle w:val="Heading2"/>
        <w:jc w:val="left"/>
        <w:spacing w:before="240" w:after="120"/>
      </w:pPr>
      <w:r>
        <w:rPr>
          <w:rFonts w:ascii="Times New Roman" w:hAnsi="Times New Roman" w:cs="Times New Roman"/>
          <w:b/>
          <w:i w:val="0"/>
          <w:sz w:val="28"/>
        </w:rPr>
        <w:t>4.2 Execution Flow</w:t>
      </w:r>
    </w:p>
    <w:p>
      <w:pPr>
        <w:jc w:val="both"/>
        <w:spacing w:before="0" w:after="140" w:line="300" w:lineRule="auto"/>
      </w:pPr>
      <w:r>
        <w:rPr>
          <w:rFonts w:ascii="Times New Roman" w:hAnsi="Times New Roman" w:cs="Times New Roman"/>
          <w:b w:val="0"/>
          <w:i w:val="0"/>
          <w:sz w:val="24"/>
        </w:rPr>
        <w:t>The runtime execution of SemanticShield AI proceeds through ten structured operational phases: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1. System Startup &amp; Initialization: </w:t>
      </w:r>
      <w:r>
        <w:rPr>
          <w:rFonts w:ascii="Times New Roman" w:hAnsi="Times New Roman" w:cs="Times New Roman"/>
          <w:b w:val="0"/>
          <w:i w:val="0"/>
          <w:sz w:val="23"/>
        </w:rPr>
        <w:t>FastAPI initializes on Uvicorn, loads Pydantic configuration, connects to SQLite, runs Alembic schema migrations, registers the 24 REST routes, registers threat intel plugins, and starts the in-memory WebSocket manager.</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2. Dashboard Client Connection: </w:t>
      </w:r>
      <w:r>
        <w:rPr>
          <w:rFonts w:ascii="Times New Roman" w:hAnsi="Times New Roman" w:cs="Times New Roman"/>
          <w:b w:val="0"/>
          <w:i w:val="0"/>
          <w:sz w:val="23"/>
        </w:rPr>
        <w:t>The browser loads the React single-page application from port 5173, queries /api/v1/dashboard/metrics, and opens persistent WebSocket connections to /ws/incidents and /ws/dashboard.</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3. Scenario Configuration &amp; Ingestion: </w:t>
      </w:r>
      <w:r>
        <w:rPr>
          <w:rFonts w:ascii="Times New Roman" w:hAnsi="Times New Roman" w:cs="Times New Roman"/>
          <w:b w:val="0"/>
          <w:i w:val="0"/>
          <w:sz w:val="23"/>
        </w:rPr>
        <w:t>The administrator selects a target scenario (e.g., SIM-EML-001 Urgent Password Reset) and assigns a behavioral profile (e.g., Trusting HR Manager) on the /admin/simulator console.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4. Behavioral Persona Reasoning: </w:t>
      </w:r>
      <w:r>
        <w:rPr>
          <w:rFonts w:ascii="Times New Roman" w:hAnsi="Times New Roman" w:cs="Times New Roman"/>
          <w:b w:val="0"/>
          <w:i w:val="0"/>
          <w:sz w:val="23"/>
        </w:rPr>
        <w:t>The backend retrieves the profile prompt from system_prompts.py, constructs contextual user inputs, and initiates a streaming generation session via the Google GenAI SDK (gemini-3.5-flash).</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5. Streamed Token Delivery: </w:t>
      </w:r>
      <w:r>
        <w:rPr>
          <w:rFonts w:ascii="Times New Roman" w:hAnsi="Times New Roman" w:cs="Times New Roman"/>
          <w:b w:val="0"/>
          <w:i w:val="0"/>
          <w:sz w:val="23"/>
        </w:rPr>
        <w:t>Reasoning tokens are streamed progressively to the client interface, allowing the analyst to watch the simulated employee's cognitive assessment unfold in real time.</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6. Decision Extraction &amp; Tag Parsing: </w:t>
      </w:r>
      <w:r>
        <w:rPr>
          <w:rFonts w:ascii="Times New Roman" w:hAnsi="Times New Roman" w:cs="Times New Roman"/>
          <w:b w:val="0"/>
          <w:i w:val="0"/>
          <w:sz w:val="23"/>
        </w:rPr>
        <w:t>Upon stream completion, regular expression matching extracts the terminating decision tag ([VULNERABLE] versus [SAFE]), logging the outcome in memory.</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7. Multi-Agent Heuristic Risk Scoring: </w:t>
      </w:r>
      <w:r>
        <w:rPr>
          <w:rFonts w:ascii="Times New Roman" w:hAnsi="Times New Roman" w:cs="Times New Roman"/>
          <w:b w:val="0"/>
          <w:i w:val="0"/>
          <w:sz w:val="23"/>
        </w:rPr>
        <w:t>The SupervisorAgent coordinates concurrent evaluation across semantic, behavioral, and URL intelligence agents. The RiskEngine calculates the 40/25/35 weighted score, applying security floor overrides to determine the final severity.</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8. Incident Creation &amp; MITRE Mapping: </w:t>
      </w:r>
      <w:r>
        <w:rPr>
          <w:rFonts w:ascii="Times New Roman" w:hAnsi="Times New Roman" w:cs="Times New Roman"/>
          <w:b w:val="0"/>
          <w:i w:val="0"/>
          <w:sz w:val="23"/>
        </w:rPr>
        <w:t>If the decision is VULNERABLE or the composite score is &gt;= 65, the IncidentManager instantiates a structured DBIncident record with assigned MITRE technique tags (T1566) and audit entries.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9. Real-Time Telemetry Broadcast: </w:t>
      </w:r>
      <w:r>
        <w:rPr>
          <w:rFonts w:ascii="Times New Roman" w:hAnsi="Times New Roman" w:cs="Times New Roman"/>
          <w:b w:val="0"/>
          <w:i w:val="0"/>
          <w:sz w:val="23"/>
        </w:rPr>
        <w:t>The WebSocket manager broadcasts an incident_created JSON payload across the incidents channel. Connected dashboards update their counters, charts, and incident tables without page reloads.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10. Analyst Triage &amp; Report Export: </w:t>
      </w:r>
      <w:r>
        <w:rPr>
          <w:rFonts w:ascii="Times New Roman" w:hAnsi="Times New Roman" w:cs="Times New Roman"/>
          <w:b w:val="0"/>
          <w:i w:val="0"/>
          <w:sz w:val="23"/>
        </w:rPr>
        <w:t>The SOC analyst reviews the newly created incident, inspects extracted IoCs, assigns mitigation notes, and exports documentation in JSON, Markdown, CSV, or STIX 2.1 formats.</w:t>
      </w:r>
    </w:p>
    <w:p>
      <w:pPr>
        <w:pStyle w:val="Heading1"/>
        <w:jc w:val="center"/>
        <w:pageBreakBefore/>
        <w:spacing w:before="0" w:after="60"/>
      </w:pPr>
      <w:r>
        <w:rPr>
          <w:rFonts w:ascii="Times New Roman" w:hAnsi="Times New Roman" w:cs="Times New Roman"/>
          <w:b/>
          <w:i w:val="0"/>
          <w:sz w:val="30"/>
        </w:rPr>
        <w:t>CHAPTER - 5</w:t>
      </w:r>
    </w:p>
    <w:p>
      <w:pPr>
        <w:jc w:val="center"/>
        <w:spacing w:before="0" w:after="240"/>
      </w:pPr>
      <w:r>
        <w:rPr>
          <w:rFonts w:ascii="Times New Roman" w:hAnsi="Times New Roman" w:cs="Times New Roman"/>
          <w:b/>
          <w:i w:val="0"/>
          <w:sz w:val="30"/>
        </w:rPr>
        <w:t>TESTING AND RESULTS</w:t>
      </w:r>
    </w:p>
    <w:p>
      <w:pPr>
        <w:pStyle w:val="Heading2"/>
        <w:jc w:val="left"/>
        <w:spacing w:before="240" w:after="120"/>
      </w:pPr>
      <w:r>
        <w:rPr>
          <w:rFonts w:ascii="Times New Roman" w:hAnsi="Times New Roman" w:cs="Times New Roman"/>
          <w:b/>
          <w:i w:val="0"/>
          <w:sz w:val="28"/>
        </w:rPr>
        <w:t>5.1 Resulting Screens</w:t>
      </w:r>
    </w:p>
    <w:p>
      <w:pPr>
        <w:jc w:val="both"/>
        <w:spacing w:before="0" w:after="140" w:line="300" w:lineRule="auto"/>
      </w:pPr>
      <w:r>
        <w:rPr>
          <w:rFonts w:ascii="Times New Roman" w:hAnsi="Times New Roman" w:cs="Times New Roman"/>
          <w:b w:val="0"/>
          <w:i w:val="0"/>
          <w:sz w:val="24"/>
        </w:rPr>
        <w:t>The operational verification of SemanticShield AI is evidenced through authentic user interface captures taken directly from the running prototype environment. The following subsections present the primary interface consoles.</w:t>
      </w:r>
    </w:p>
    <w:p>
      <w:pPr>
        <w:pStyle w:val="Heading3"/>
        <w:jc w:val="left"/>
        <w:spacing w:before="180" w:after="80"/>
      </w:pPr>
      <w:r>
        <w:rPr>
          <w:rFonts w:ascii="Times New Roman" w:hAnsi="Times New Roman" w:cs="Times New Roman"/>
          <w:b/>
          <w:i w:val="0"/>
          <w:sz w:val="26"/>
        </w:rPr>
        <w:t>5.1.1 Offensive AI Simulation Sandbox Interface</w:t>
      </w:r>
    </w:p>
    <w:p>
      <w:pPr>
        <w:jc w:val="both"/>
        <w:spacing w:before="0" w:after="140" w:line="300" w:lineRule="auto"/>
      </w:pPr>
      <w:r>
        <w:rPr>
          <w:rFonts w:ascii="Times New Roman" w:hAnsi="Times New Roman" w:cs="Times New Roman"/>
          <w:b w:val="0"/>
          <w:i w:val="0"/>
          <w:sz w:val="24"/>
        </w:rPr>
        <w:t>The Offensive Simulation Sandbox (/admin/simulator) serves as the campaign launchpad. Security administrators can browse a structured catalog of synthetic phishing scenarios (SIM-EML-001 through SIM-EML-007), inspect technical lure parameters (target role, subject, and body text), select an employee psychological profile, and launch single or automated batch runs.</w:t>
      </w:r>
    </w:p>
    <w:p>
      <w:pPr>
        <w:jc w:val="center"/>
        <w:spacing w:before="120" w:after="60"/>
      </w:pPr>
      <w:r>
        <w:drawing>
          <wp:inline xmlns:a="http://schemas.openxmlformats.org/drawingml/2006/main" xmlns:pic="http://schemas.openxmlformats.org/drawingml/2006/picture">
            <wp:extent cx="5577840" cy="3137535"/>
            <wp:docPr id="2040844857" name="Picture 2040844857"/>
            <wp:cNvGraphicFramePr>
              <a:graphicFrameLocks noChangeAspect="1"/>
            </wp:cNvGraphicFramePr>
            <a:graphic>
              <a:graphicData uri="http://schemas.openxmlformats.org/drawingml/2006/picture">
                <pic:pic>
                  <pic:nvPicPr>
                    <pic:cNvPr id="0" name="fig7_simulator_setup.png"/>
                    <pic:cNvPicPr/>
                  </pic:nvPicPr>
                  <pic:blipFill>
                    <a:blip r:embed="rId32"/>
                    <a:stretch>
                      <a:fillRect/>
                    </a:stretch>
                  </pic:blipFill>
                  <pic:spPr>
                    <a:xfrm>
                      <a:off x="0" y="0"/>
                      <a:ext cx="5577840" cy="3137535"/>
                    </a:xfrm>
                    <a:prstGeom prst="rect"/>
                  </pic:spPr>
                </pic:pic>
              </a:graphicData>
            </a:graphic>
          </wp:inline>
        </w:drawing>
      </w:r>
    </w:p>
    <w:p>
      <w:pPr>
        <w:jc w:val="center"/>
        <w:spacing w:before="40" w:after="200"/>
      </w:pPr>
      <w:r>
        <w:rPr>
          <w:rFonts w:ascii="Times New Roman" w:hAnsi="Times New Roman" w:cs="Times New Roman"/>
          <w:b/>
          <w:i w:val="0"/>
          <w:color w:val="0F172A"/>
          <w:sz w:val="22"/>
        </w:rPr>
        <w:t>Fig. 6  Offensive AI Simulation Sandbox Interface (/admin/simulator)</w:t>
      </w:r>
    </w:p>
    <w:p>
      <w:pPr>
        <w:pStyle w:val="Heading3"/>
        <w:jc w:val="left"/>
        <w:spacing w:before="180" w:after="80"/>
      </w:pPr>
      <w:r>
        <w:rPr>
          <w:rFonts w:ascii="Times New Roman" w:hAnsi="Times New Roman" w:cs="Times New Roman"/>
          <w:b/>
          <w:i w:val="0"/>
          <w:sz w:val="26"/>
        </w:rPr>
        <w:t>5.1.2 Behavioral Simulation Execution — Vulnerable Decision</w:t>
      </w:r>
    </w:p>
    <w:p>
      <w:pPr>
        <w:jc w:val="both"/>
        <w:spacing w:before="0" w:after="140" w:line="300" w:lineRule="auto"/>
      </w:pPr>
      <w:r>
        <w:rPr>
          <w:rFonts w:ascii="Times New Roman" w:hAnsi="Times New Roman" w:cs="Times New Roman"/>
          <w:b w:val="0"/>
          <w:i w:val="0"/>
          <w:sz w:val="24"/>
        </w:rPr>
        <w:t>When an attack is launched against a susceptible profile, the result drawer displays the progressive reasoning of the simulated employee. Fig. 7 illustrates scenario SIM-EML-001 (Microsoft 365 Password Reset) executed against the Trusting HR Manager profile. The employee prioritizes task speed over verification, fails to inspect the sender domain, and yields to the lure, terminating with a [VULNERABLE] decision tag, a composite threat score of 84/100, and DANGEROUS severity.</w:t>
      </w:r>
    </w:p>
    <w:p>
      <w:pPr>
        <w:jc w:val="center"/>
        <w:spacing w:before="120" w:after="60"/>
      </w:pPr>
      <w:r>
        <w:drawing>
          <wp:inline xmlns:a="http://schemas.openxmlformats.org/drawingml/2006/main" xmlns:pic="http://schemas.openxmlformats.org/drawingml/2006/picture">
            <wp:extent cx="5577840" cy="5882878"/>
            <wp:docPr id="2040844858" name="Picture 2040844858"/>
            <wp:cNvGraphicFramePr>
              <a:graphicFrameLocks noChangeAspect="1"/>
            </wp:cNvGraphicFramePr>
            <a:graphic>
              <a:graphicData uri="http://schemas.openxmlformats.org/drawingml/2006/picture">
                <pic:pic>
                  <pic:nvPicPr>
                    <pic:cNvPr id="0" name="fig8_vulnerable_result.png"/>
                    <pic:cNvPicPr/>
                  </pic:nvPicPr>
                  <pic:blipFill>
                    <a:blip r:embed="rId33"/>
                    <a:stretch>
                      <a:fillRect/>
                    </a:stretch>
                  </pic:blipFill>
                  <pic:spPr>
                    <a:xfrm>
                      <a:off x="0" y="0"/>
                      <a:ext cx="5577840" cy="5882878"/>
                    </a:xfrm>
                    <a:prstGeom prst="rect"/>
                  </pic:spPr>
                </pic:pic>
              </a:graphicData>
            </a:graphic>
          </wp:inline>
        </w:drawing>
      </w:r>
    </w:p>
    <w:p>
      <w:pPr>
        <w:jc w:val="center"/>
        <w:spacing w:before="40" w:after="200"/>
      </w:pPr>
      <w:r>
        <w:rPr>
          <w:rFonts w:ascii="Times New Roman" w:hAnsi="Times New Roman" w:cs="Times New Roman"/>
          <w:b/>
          <w:i w:val="0"/>
          <w:color w:val="0F172A"/>
          <w:sz w:val="22"/>
        </w:rPr>
        <w:t>Fig. 7  Simulation Result Drawer — Vulnerable Outcome for Trusting HR Profile</w:t>
      </w:r>
    </w:p>
    <w:p>
      <w:pPr>
        <w:pStyle w:val="Heading3"/>
        <w:jc w:val="left"/>
        <w:spacing w:before="180" w:after="80"/>
      </w:pPr>
      <w:r>
        <w:rPr>
          <w:rFonts w:ascii="Times New Roman" w:hAnsi="Times New Roman" w:cs="Times New Roman"/>
          <w:b/>
          <w:i w:val="0"/>
          <w:sz w:val="26"/>
        </w:rPr>
        <w:t>5.1.3 Behavioral Simulation Execution — Safe Decision</w:t>
      </w:r>
    </w:p>
    <w:p>
      <w:pPr>
        <w:jc w:val="both"/>
        <w:spacing w:before="0" w:after="140" w:line="300" w:lineRule="auto"/>
      </w:pPr>
      <w:r>
        <w:rPr>
          <w:rFonts w:ascii="Times New Roman" w:hAnsi="Times New Roman" w:cs="Times New Roman"/>
          <w:b w:val="0"/>
          <w:i w:val="0"/>
          <w:sz w:val="24"/>
        </w:rPr>
        <w:t>Fig. 8 depicts the same scenario (SIM-EML-001) executed against the Security-Conscious Senior Developer profile. The employee's streamed reasoning explicitly analyzes the full sender address, identifies the unmanaged domain discrepancy, checks SPF authentication indicators, and rejects the credential solicitation. The interaction concludes with a [SAFE] decision tag, a composite score of 18/100, and SAFE severity.</w:t>
      </w:r>
    </w:p>
    <w:p>
      <w:pPr>
        <w:jc w:val="center"/>
        <w:spacing w:before="120" w:after="60"/>
      </w:pPr>
      <w:r>
        <w:drawing>
          <wp:inline xmlns:a="http://schemas.openxmlformats.org/drawingml/2006/main" xmlns:pic="http://schemas.openxmlformats.org/drawingml/2006/picture">
            <wp:extent cx="5577840" cy="5882878"/>
            <wp:docPr id="2040844859" name="Picture 2040844859"/>
            <wp:cNvGraphicFramePr>
              <a:graphicFrameLocks noChangeAspect="1"/>
            </wp:cNvGraphicFramePr>
            <a:graphic>
              <a:graphicData uri="http://schemas.openxmlformats.org/drawingml/2006/picture">
                <pic:pic>
                  <pic:nvPicPr>
                    <pic:cNvPr id="0" name="fig9_safe_result.png"/>
                    <pic:cNvPicPr/>
                  </pic:nvPicPr>
                  <pic:blipFill>
                    <a:blip r:embed="rId34"/>
                    <a:stretch>
                      <a:fillRect/>
                    </a:stretch>
                  </pic:blipFill>
                  <pic:spPr>
                    <a:xfrm>
                      <a:off x="0" y="0"/>
                      <a:ext cx="5577840" cy="5882878"/>
                    </a:xfrm>
                    <a:prstGeom prst="rect"/>
                  </pic:spPr>
                </pic:pic>
              </a:graphicData>
            </a:graphic>
          </wp:inline>
        </w:drawing>
      </w:r>
    </w:p>
    <w:p>
      <w:pPr>
        <w:jc w:val="center"/>
        <w:spacing w:before="40" w:after="200"/>
      </w:pPr>
      <w:r>
        <w:rPr>
          <w:rFonts w:ascii="Times New Roman" w:hAnsi="Times New Roman" w:cs="Times New Roman"/>
          <w:b/>
          <w:i w:val="0"/>
          <w:color w:val="0F172A"/>
          <w:sz w:val="22"/>
        </w:rPr>
        <w:t>Fig. 8  Simulation Result Drawer — Safe Outcome for Security-Conscious Developer Profile</w:t>
      </w:r>
    </w:p>
    <w:p>
      <w:pPr>
        <w:pStyle w:val="Heading3"/>
        <w:jc w:val="left"/>
        <w:spacing w:before="180" w:after="80"/>
      </w:pPr>
      <w:r>
        <w:rPr>
          <w:rFonts w:ascii="Times New Roman" w:hAnsi="Times New Roman" w:cs="Times New Roman"/>
          <w:b/>
          <w:i w:val="0"/>
          <w:sz w:val="26"/>
        </w:rPr>
        <w:t>5.1.4 Defensive AI Scanning Portal &amp; Real-Time Feed</w:t>
      </w:r>
    </w:p>
    <w:p>
      <w:pPr>
        <w:jc w:val="both"/>
        <w:spacing w:before="0" w:after="140" w:line="300" w:lineRule="auto"/>
      </w:pPr>
      <w:r>
        <w:rPr>
          <w:rFonts w:ascii="Times New Roman" w:hAnsi="Times New Roman" w:cs="Times New Roman"/>
          <w:b w:val="0"/>
          <w:i w:val="0"/>
          <w:sz w:val="24"/>
        </w:rPr>
        <w:t>The Defensive AI Scanning Portal (/dashboard) presents the SOC analyst triage view. It displays incoming telemetry transferred from the offensive simulation sandbox or browser extension, showing real-time threat classifications (CRITICAL, 88/100 risk score, 94% confidence), incident cross-references (INC-001), and detected red-flag indicators.</w:t>
      </w:r>
    </w:p>
    <w:p>
      <w:pPr>
        <w:jc w:val="center"/>
        <w:spacing w:before="120" w:after="60"/>
      </w:pPr>
      <w:r>
        <w:drawing>
          <wp:inline xmlns:a="http://schemas.openxmlformats.org/drawingml/2006/main" xmlns:pic="http://schemas.openxmlformats.org/drawingml/2006/picture">
            <wp:extent cx="5577840" cy="3137535"/>
            <wp:docPr id="2040844860" name="Picture 2040844860"/>
            <wp:cNvGraphicFramePr>
              <a:graphicFrameLocks noChangeAspect="1"/>
            </wp:cNvGraphicFramePr>
            <a:graphic>
              <a:graphicData uri="http://schemas.openxmlformats.org/drawingml/2006/picture">
                <pic:pic>
                  <pic:nvPicPr>
                    <pic:cNvPr id="0" name="fig10_defensive_portal.png"/>
                    <pic:cNvPicPr/>
                  </pic:nvPicPr>
                  <pic:blipFill>
                    <a:blip r:embed="rId35"/>
                    <a:stretch>
                      <a:fillRect/>
                    </a:stretch>
                  </pic:blipFill>
                  <pic:spPr>
                    <a:xfrm>
                      <a:off x="0" y="0"/>
                      <a:ext cx="5577840" cy="3137535"/>
                    </a:xfrm>
                    <a:prstGeom prst="rect"/>
                  </pic:spPr>
                </pic:pic>
              </a:graphicData>
            </a:graphic>
          </wp:inline>
        </w:drawing>
      </w:r>
    </w:p>
    <w:p>
      <w:pPr>
        <w:jc w:val="center"/>
        <w:spacing w:before="40" w:after="200"/>
      </w:pPr>
      <w:r>
        <w:rPr>
          <w:rFonts w:ascii="Times New Roman" w:hAnsi="Times New Roman" w:cs="Times New Roman"/>
          <w:b/>
          <w:i w:val="0"/>
          <w:color w:val="0F172A"/>
          <w:sz w:val="22"/>
        </w:rPr>
        <w:t>Fig. 9  Defensive AI Scanning Portal &amp; Real-Time Telemetry Feed (/dashboard)</w:t>
      </w:r>
    </w:p>
    <w:p>
      <w:pPr>
        <w:pStyle w:val="Heading3"/>
        <w:jc w:val="left"/>
        <w:spacing w:before="180" w:after="80"/>
      </w:pPr>
      <w:r>
        <w:rPr>
          <w:rFonts w:ascii="Times New Roman" w:hAnsi="Times New Roman" w:cs="Times New Roman"/>
          <w:b/>
          <w:i w:val="0"/>
          <w:sz w:val="26"/>
        </w:rPr>
        <w:t>5.1.5 Enterprise Incident Management &amp; Real-Time Triage</w:t>
      </w:r>
    </w:p>
    <w:p>
      <w:pPr>
        <w:jc w:val="both"/>
        <w:spacing w:before="0" w:after="140" w:line="300" w:lineRule="auto"/>
      </w:pPr>
      <w:r>
        <w:rPr>
          <w:rFonts w:ascii="Times New Roman" w:hAnsi="Times New Roman" w:cs="Times New Roman"/>
          <w:b w:val="0"/>
          <w:i w:val="0"/>
          <w:sz w:val="24"/>
        </w:rPr>
        <w:t>The Incident Management Dashboard (/admin/incidents) provides centralized case tracking for all vulnerable simulation outcomes and critical external threats. Analysts can filter records by severity and status, inspect assigned MITRE ATT&amp;CK technique tags, update investigation notes, and manage containment workflows.</w:t>
      </w:r>
    </w:p>
    <w:p>
      <w:pPr>
        <w:jc w:val="center"/>
        <w:spacing w:before="120" w:after="60"/>
      </w:pPr>
      <w:r>
        <w:drawing>
          <wp:inline xmlns:a="http://schemas.openxmlformats.org/drawingml/2006/main" xmlns:pic="http://schemas.openxmlformats.org/drawingml/2006/picture">
            <wp:extent cx="5577840" cy="3137535"/>
            <wp:docPr id="2040844861" name="Picture 2040844861"/>
            <wp:cNvGraphicFramePr>
              <a:graphicFrameLocks noChangeAspect="1"/>
            </wp:cNvGraphicFramePr>
            <a:graphic>
              <a:graphicData uri="http://schemas.openxmlformats.org/drawingml/2006/picture">
                <pic:pic>
                  <pic:nvPicPr>
                    <pic:cNvPr id="0" name="fig11_incidents.png"/>
                    <pic:cNvPicPr/>
                  </pic:nvPicPr>
                  <pic:blipFill>
                    <a:blip r:embed="rId36"/>
                    <a:stretch>
                      <a:fillRect/>
                    </a:stretch>
                  </pic:blipFill>
                  <pic:spPr>
                    <a:xfrm>
                      <a:off x="0" y="0"/>
                      <a:ext cx="5577840" cy="3137535"/>
                    </a:xfrm>
                    <a:prstGeom prst="rect"/>
                  </pic:spPr>
                </pic:pic>
              </a:graphicData>
            </a:graphic>
          </wp:inline>
        </w:drawing>
      </w:r>
    </w:p>
    <w:p>
      <w:pPr>
        <w:jc w:val="center"/>
        <w:spacing w:before="40" w:after="200"/>
      </w:pPr>
      <w:r>
        <w:rPr>
          <w:rFonts w:ascii="Times New Roman" w:hAnsi="Times New Roman" w:cs="Times New Roman"/>
          <w:b/>
          <w:i w:val="0"/>
          <w:color w:val="0F172A"/>
          <w:sz w:val="22"/>
        </w:rPr>
        <w:t>Fig. 10  Enterprise Incident Management &amp; Real-Time Triage Dashboard (/admin/incidents)</w:t>
      </w:r>
    </w:p>
    <w:p>
      <w:pPr>
        <w:pStyle w:val="Heading3"/>
        <w:jc w:val="left"/>
        <w:spacing w:before="180" w:after="80"/>
      </w:pPr>
      <w:r>
        <w:rPr>
          <w:rFonts w:ascii="Times New Roman" w:hAnsi="Times New Roman" w:cs="Times New Roman"/>
          <w:b/>
          <w:i w:val="0"/>
          <w:sz w:val="26"/>
        </w:rPr>
        <w:t>5.1.6 Real-Time SOC Analytics &amp; Database Persistence</w:t>
      </w:r>
    </w:p>
    <w:p>
      <w:pPr>
        <w:jc w:val="both"/>
        <w:spacing w:before="0" w:after="140" w:line="300" w:lineRule="auto"/>
      </w:pPr>
      <w:r>
        <w:rPr>
          <w:rFonts w:ascii="Times New Roman" w:hAnsi="Times New Roman" w:cs="Times New Roman"/>
          <w:b w:val="0"/>
          <w:i w:val="0"/>
          <w:sz w:val="24"/>
        </w:rPr>
        <w:t>Fig. 11 illustrates the Analytics and Persistence Dashboard (/admin/analytics), captured following a full backend server restart. It confirms that simulation records, threat distribution metrics, and incident histories are persistently preserved in the SQLite relational database via SQLAlchemy ORM.</w:t>
      </w:r>
    </w:p>
    <w:p>
      <w:pPr>
        <w:jc w:val="center"/>
        <w:spacing w:before="120" w:after="60"/>
      </w:pPr>
      <w:r>
        <w:drawing>
          <wp:inline xmlns:a="http://schemas.openxmlformats.org/drawingml/2006/main" xmlns:pic="http://schemas.openxmlformats.org/drawingml/2006/picture">
            <wp:extent cx="5577840" cy="3137535"/>
            <wp:docPr id="2040844862" name="Picture 2040844862"/>
            <wp:cNvGraphicFramePr>
              <a:graphicFrameLocks noChangeAspect="1"/>
            </wp:cNvGraphicFramePr>
            <a:graphic>
              <a:graphicData uri="http://schemas.openxmlformats.org/drawingml/2006/picture">
                <pic:pic>
                  <pic:nvPicPr>
                    <pic:cNvPr id="0" name="fig12_analytics_persisted.png"/>
                    <pic:cNvPicPr/>
                  </pic:nvPicPr>
                  <pic:blipFill>
                    <a:blip r:embed="rId37"/>
                    <a:stretch>
                      <a:fillRect/>
                    </a:stretch>
                  </pic:blipFill>
                  <pic:spPr>
                    <a:xfrm>
                      <a:off x="0" y="0"/>
                      <a:ext cx="5577840" cy="3137535"/>
                    </a:xfrm>
                    <a:prstGeom prst="rect"/>
                  </pic:spPr>
                </pic:pic>
              </a:graphicData>
            </a:graphic>
          </wp:inline>
        </w:drawing>
      </w:r>
    </w:p>
    <w:p>
      <w:pPr>
        <w:jc w:val="center"/>
        <w:spacing w:before="40" w:after="200"/>
      </w:pPr>
      <w:r>
        <w:rPr>
          <w:rFonts w:ascii="Times New Roman" w:hAnsi="Times New Roman" w:cs="Times New Roman"/>
          <w:b/>
          <w:i w:val="0"/>
          <w:color w:val="0F172A"/>
          <w:sz w:val="22"/>
        </w:rPr>
        <w:t>Fig. 11  Real-Time SOC Analytics &amp; Database Persistence Dashboard (/admin/analytics)</w:t>
      </w:r>
    </w:p>
    <w:p>
      <w:pPr>
        <w:pStyle w:val="Heading2"/>
        <w:jc w:val="left"/>
        <w:spacing w:before="240" w:after="120"/>
      </w:pPr>
      <w:r>
        <w:rPr>
          <w:rFonts w:ascii="Times New Roman" w:hAnsi="Times New Roman" w:cs="Times New Roman"/>
          <w:b/>
          <w:i w:val="0"/>
          <w:sz w:val="28"/>
        </w:rPr>
        <w:t>5.2 Test Results</w:t>
      </w:r>
    </w:p>
    <w:p>
      <w:pPr>
        <w:pStyle w:val="Heading3"/>
        <w:jc w:val="left"/>
        <w:spacing w:before="180" w:after="80"/>
      </w:pPr>
      <w:r>
        <w:rPr>
          <w:rFonts w:ascii="Times New Roman" w:hAnsi="Times New Roman" w:cs="Times New Roman"/>
          <w:b/>
          <w:i w:val="0"/>
          <w:sz w:val="26"/>
        </w:rPr>
        <w:t>5.2.1 Automated Backend Tests</w:t>
      </w:r>
    </w:p>
    <w:p>
      <w:pPr>
        <w:jc w:val="both"/>
        <w:spacing w:before="0" w:after="140" w:line="300" w:lineRule="auto"/>
      </w:pPr>
      <w:r>
        <w:rPr>
          <w:rFonts w:ascii="Times New Roman" w:hAnsi="Times New Roman" w:cs="Times New Roman"/>
          <w:b w:val="0"/>
          <w:i w:val="0"/>
          <w:sz w:val="24"/>
        </w:rPr>
        <w:t>The backend application is verified through a comprehensive suite of automated integration tests and diagnostic benchmark suites. All test modules pass with zero failures. Table 5.1 details the test suites.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3009"/>
        <w:gridCol w:w="3009"/>
        <w:gridCol w:w="3009"/>
      </w:tblGrid>
      <w:tr>
        <w:tc>
          <w:tcPr>
            <w:tcW w:type="dxa" w:w="3024"/>
            <w:shd w:val="clear" w:color="auto" w:fill="D9E2F3"/>
          </w:tcPr>
          <w:p>
            <w:pPr>
              <w:jc w:val="left"/>
            </w:pPr>
            <w:r>
              <w:rPr>
                <w:rFonts w:ascii="Times New Roman" w:hAnsi="Times New Roman" w:cs="Times New Roman"/>
                <w:b/>
                <w:i w:val="0"/>
                <w:color w:val="0F172A"/>
                <w:sz w:val="20"/>
              </w:rPr>
              <w:t>Test Module Name</w:t>
            </w:r>
          </w:p>
        </w:tc>
        <w:tc>
          <w:tcPr>
            <w:tcW w:type="dxa" w:w="3888"/>
            <w:shd w:val="clear" w:color="auto" w:fill="D9E2F3"/>
          </w:tcPr>
          <w:p>
            <w:pPr>
              <w:jc w:val="left"/>
            </w:pPr>
            <w:r>
              <w:rPr>
                <w:rFonts w:ascii="Times New Roman" w:hAnsi="Times New Roman" w:cs="Times New Roman"/>
                <w:b/>
                <w:i w:val="0"/>
                <w:color w:val="0F172A"/>
                <w:sz w:val="20"/>
              </w:rPr>
              <w:t>Target Subsystem / Verification Scope</w:t>
            </w:r>
          </w:p>
        </w:tc>
        <w:tc>
          <w:tcPr>
            <w:tcW w:type="dxa" w:w="2016"/>
            <w:shd w:val="clear" w:color="auto" w:fill="D9E2F3"/>
          </w:tcPr>
          <w:p>
            <w:pPr>
              <w:jc w:val="left"/>
            </w:pPr>
            <w:r>
              <w:rPr>
                <w:rFonts w:ascii="Times New Roman" w:hAnsi="Times New Roman" w:cs="Times New Roman"/>
                <w:b/>
                <w:i w:val="0"/>
                <w:color w:val="0F172A"/>
                <w:sz w:val="20"/>
              </w:rPr>
              <w:t>Pass / Fail Status</w:t>
            </w:r>
          </w:p>
        </w:tc>
      </w:tr>
      <w:tr>
        <w:tc>
          <w:tcPr>
            <w:tcW w:type="dxa" w:w="3024"/>
          </w:tcPr>
          <w:p>
            <w:pPr>
              <w:jc w:val="left"/>
            </w:pPr>
            <w:r>
              <w:rPr>
                <w:rFonts w:ascii="Times New Roman" w:hAnsi="Times New Roman" w:cs="Times New Roman"/>
                <w:b w:val="0"/>
                <w:i w:val="0"/>
                <w:color w:val="1E293B"/>
                <w:sz w:val="19"/>
              </w:rPr>
              <w:t>backend/test_all_routes.py</w:t>
            </w:r>
          </w:p>
        </w:tc>
        <w:tc>
          <w:tcPr>
            <w:tcW w:type="dxa" w:w="3888"/>
          </w:tcPr>
          <w:p>
            <w:pPr>
              <w:jc w:val="left"/>
            </w:pPr>
            <w:r>
              <w:rPr>
                <w:rFonts w:ascii="Times New Roman" w:hAnsi="Times New Roman" w:cs="Times New Roman"/>
                <w:b w:val="0"/>
                <w:i w:val="0"/>
                <w:color w:val="1E293B"/>
                <w:sz w:val="19"/>
              </w:rPr>
              <w:t>Full API contract verification across all 24 REST and WebSocket routes</w:t>
            </w:r>
          </w:p>
        </w:tc>
        <w:tc>
          <w:tcPr>
            <w:tcW w:type="dxa" w:w="2016"/>
          </w:tcPr>
          <w:p>
            <w:pPr>
              <w:jc w:val="left"/>
            </w:pPr>
            <w:r>
              <w:rPr>
                <w:rFonts w:ascii="Times New Roman" w:hAnsi="Times New Roman" w:cs="Times New Roman"/>
                <w:b w:val="0"/>
                <w:i w:val="0"/>
                <w:color w:val="1E293B"/>
                <w:sz w:val="19"/>
              </w:rPr>
              <w:t>24 / 24 Routes Passed (100%)</w:t>
            </w:r>
          </w:p>
        </w:tc>
      </w:tr>
      <w:tr>
        <w:tc>
          <w:tcPr>
            <w:tcW w:type="dxa" w:w="3024"/>
          </w:tcPr>
          <w:p>
            <w:pPr>
              <w:jc w:val="left"/>
            </w:pPr>
            <w:r>
              <w:rPr>
                <w:rFonts w:ascii="Times New Roman" w:hAnsi="Times New Roman" w:cs="Times New Roman"/>
                <w:b w:val="0"/>
                <w:i w:val="0"/>
                <w:color w:val="1E293B"/>
                <w:sz w:val="19"/>
              </w:rPr>
              <w:t>backend/run_qa_validation.py</w:t>
            </w:r>
          </w:p>
        </w:tc>
        <w:tc>
          <w:tcPr>
            <w:tcW w:type="dxa" w:w="3888"/>
          </w:tcPr>
          <w:p>
            <w:pPr>
              <w:jc w:val="left"/>
            </w:pPr>
            <w:r>
              <w:rPr>
                <w:rFonts w:ascii="Times New Roman" w:hAnsi="Times New Roman" w:cs="Times New Roman"/>
                <w:b w:val="0"/>
                <w:i w:val="0"/>
                <w:color w:val="1E293B"/>
                <w:sz w:val="19"/>
              </w:rPr>
              <w:t>End-to-end QA measuring API latency, simulation speed, and burst execution</w:t>
            </w:r>
          </w:p>
        </w:tc>
        <w:tc>
          <w:tcPr>
            <w:tcW w:type="dxa" w:w="2016"/>
          </w:tcPr>
          <w:p>
            <w:pPr>
              <w:jc w:val="left"/>
            </w:pPr>
            <w:r>
              <w:rPr>
                <w:rFonts w:ascii="Times New Roman" w:hAnsi="Times New Roman" w:cs="Times New Roman"/>
                <w:b w:val="0"/>
                <w:i w:val="0"/>
                <w:color w:val="1E293B"/>
                <w:sz w:val="19"/>
              </w:rPr>
              <w:t>5 / 5 Checks Passed (100%)</w:t>
            </w:r>
          </w:p>
        </w:tc>
      </w:tr>
      <w:tr>
        <w:tc>
          <w:tcPr>
            <w:tcW w:type="dxa" w:w="3024"/>
          </w:tcPr>
          <w:p>
            <w:pPr>
              <w:jc w:val="left"/>
            </w:pPr>
            <w:r>
              <w:rPr>
                <w:rFonts w:ascii="Times New Roman" w:hAnsi="Times New Roman" w:cs="Times New Roman"/>
                <w:b w:val="0"/>
                <w:i w:val="0"/>
                <w:color w:val="1E293B"/>
                <w:sz w:val="19"/>
              </w:rPr>
              <w:t>test_accuracy_benchmark.py</w:t>
            </w:r>
          </w:p>
        </w:tc>
        <w:tc>
          <w:tcPr>
            <w:tcW w:type="dxa" w:w="3888"/>
          </w:tcPr>
          <w:p>
            <w:pPr>
              <w:jc w:val="left"/>
            </w:pPr>
            <w:r>
              <w:rPr>
                <w:rFonts w:ascii="Times New Roman" w:hAnsi="Times New Roman" w:cs="Times New Roman"/>
                <w:b w:val="0"/>
                <w:i w:val="0"/>
                <w:color w:val="1E293B"/>
                <w:sz w:val="19"/>
              </w:rPr>
              <w:t>Detection accuracy on 15 diverse phishing, piracy, and legitimate web targets</w:t>
            </w:r>
          </w:p>
        </w:tc>
        <w:tc>
          <w:tcPr>
            <w:tcW w:type="dxa" w:w="2016"/>
          </w:tcPr>
          <w:p>
            <w:pPr>
              <w:jc w:val="left"/>
            </w:pPr>
            <w:r>
              <w:rPr>
                <w:rFonts w:ascii="Times New Roman" w:hAnsi="Times New Roman" w:cs="Times New Roman"/>
                <w:b w:val="0"/>
                <w:i w:val="0"/>
                <w:color w:val="1E293B"/>
                <w:sz w:val="19"/>
              </w:rPr>
              <w:t>13 / 13 Evaluated Passed (100%)</w:t>
            </w:r>
          </w:p>
        </w:tc>
      </w:tr>
      <w:tr>
        <w:tc>
          <w:tcPr>
            <w:tcW w:type="dxa" w:w="3024"/>
          </w:tcPr>
          <w:p>
            <w:pPr>
              <w:jc w:val="left"/>
            </w:pPr>
            <w:r>
              <w:rPr>
                <w:rFonts w:ascii="Times New Roman" w:hAnsi="Times New Roman" w:cs="Times New Roman"/>
                <w:b w:val="0"/>
                <w:i w:val="0"/>
                <w:color w:val="1E293B"/>
                <w:sz w:val="19"/>
              </w:rPr>
              <w:t>test_incident_management.py</w:t>
            </w:r>
          </w:p>
        </w:tc>
        <w:tc>
          <w:tcPr>
            <w:tcW w:type="dxa" w:w="3888"/>
          </w:tcPr>
          <w:p>
            <w:pPr>
              <w:jc w:val="left"/>
            </w:pPr>
            <w:r>
              <w:rPr>
                <w:rFonts w:ascii="Times New Roman" w:hAnsi="Times New Roman" w:cs="Times New Roman"/>
                <w:b w:val="0"/>
                <w:i w:val="0"/>
                <w:color w:val="1E293B"/>
                <w:sz w:val="19"/>
              </w:rPr>
              <w:t>Incident lifecycle, MITRE correlation, audit timeline, and report exporters</w:t>
            </w:r>
          </w:p>
        </w:tc>
        <w:tc>
          <w:tcPr>
            <w:tcW w:type="dxa" w:w="2016"/>
          </w:tcPr>
          <w:p>
            <w:pPr>
              <w:jc w:val="left"/>
            </w:pPr>
            <w:r>
              <w:rPr>
                <w:rFonts w:ascii="Times New Roman" w:hAnsi="Times New Roman" w:cs="Times New Roman"/>
                <w:b w:val="0"/>
                <w:i w:val="0"/>
                <w:color w:val="1E293B"/>
                <w:sz w:val="19"/>
              </w:rPr>
              <w:t>8 / 8 Checks Passed (100%)</w:t>
            </w:r>
          </w:p>
        </w:tc>
      </w:tr>
      <w:tr>
        <w:tc>
          <w:tcPr>
            <w:tcW w:type="dxa" w:w="3024"/>
          </w:tcPr>
          <w:p>
            <w:pPr>
              <w:jc w:val="left"/>
            </w:pPr>
            <w:r>
              <w:rPr>
                <w:rFonts w:ascii="Times New Roman" w:hAnsi="Times New Roman" w:cs="Times New Roman"/>
                <w:b w:val="0"/>
                <w:i w:val="0"/>
                <w:color w:val="1E293B"/>
                <w:sz w:val="19"/>
              </w:rPr>
              <w:t>test_soc_integration.py</w:t>
            </w:r>
          </w:p>
        </w:tc>
        <w:tc>
          <w:tcPr>
            <w:tcW w:type="dxa" w:w="3888"/>
          </w:tcPr>
          <w:p>
            <w:pPr>
              <w:jc w:val="left"/>
            </w:pPr>
            <w:r>
              <w:rPr>
                <w:rFonts w:ascii="Times New Roman" w:hAnsi="Times New Roman" w:cs="Times New Roman"/>
                <w:b w:val="0"/>
                <w:i w:val="0"/>
                <w:color w:val="1E293B"/>
                <w:sz w:val="19"/>
              </w:rPr>
              <w:t>Activity feed logger, notification queue, health monitor, and WebSocket hub</w:t>
            </w:r>
          </w:p>
        </w:tc>
        <w:tc>
          <w:tcPr>
            <w:tcW w:type="dxa" w:w="2016"/>
          </w:tcPr>
          <w:p>
            <w:pPr>
              <w:jc w:val="left"/>
            </w:pPr>
            <w:r>
              <w:rPr>
                <w:rFonts w:ascii="Times New Roman" w:hAnsi="Times New Roman" w:cs="Times New Roman"/>
                <w:b w:val="0"/>
                <w:i w:val="0"/>
                <w:color w:val="1E293B"/>
                <w:sz w:val="19"/>
              </w:rPr>
              <w:t>5 / 5 Checks Passed (100%)</w:t>
            </w:r>
          </w:p>
        </w:tc>
      </w:tr>
      <w:tr>
        <w:tc>
          <w:tcPr>
            <w:tcW w:type="dxa" w:w="3024"/>
          </w:tcPr>
          <w:p>
            <w:pPr>
              <w:jc w:val="left"/>
            </w:pPr>
            <w:r>
              <w:rPr>
                <w:rFonts w:ascii="Times New Roman" w:hAnsi="Times New Roman" w:cs="Times New Roman"/>
                <w:b w:val="0"/>
                <w:i w:val="0"/>
                <w:color w:val="1E293B"/>
                <w:sz w:val="19"/>
              </w:rPr>
              <w:t>test_threat_engine.py</w:t>
            </w:r>
          </w:p>
        </w:tc>
        <w:tc>
          <w:tcPr>
            <w:tcW w:type="dxa" w:w="3888"/>
          </w:tcPr>
          <w:p>
            <w:pPr>
              <w:jc w:val="left"/>
            </w:pPr>
            <w:r>
              <w:rPr>
                <w:rFonts w:ascii="Times New Roman" w:hAnsi="Times New Roman" w:cs="Times New Roman"/>
                <w:b w:val="0"/>
                <w:i w:val="0"/>
                <w:color w:val="1E293B"/>
                <w:sz w:val="19"/>
              </w:rPr>
              <w:t>Plugin registry (5 providers), in-memory TTL cache, and mock fallback logic</w:t>
            </w:r>
          </w:p>
        </w:tc>
        <w:tc>
          <w:tcPr>
            <w:tcW w:type="dxa" w:w="2016"/>
          </w:tcPr>
          <w:p>
            <w:pPr>
              <w:jc w:val="left"/>
            </w:pPr>
            <w:r>
              <w:rPr>
                <w:rFonts w:ascii="Times New Roman" w:hAnsi="Times New Roman" w:cs="Times New Roman"/>
                <w:b w:val="0"/>
                <w:i w:val="0"/>
                <w:color w:val="1E293B"/>
                <w:sz w:val="19"/>
              </w:rPr>
              <w:t>6 / 6 Checks Passed (100%)</w:t>
            </w:r>
          </w:p>
        </w:tc>
      </w:tr>
      <w:tr>
        <w:tc>
          <w:tcPr>
            <w:tcW w:type="dxa" w:w="3024"/>
          </w:tcPr>
          <w:p>
            <w:pPr>
              <w:jc w:val="left"/>
            </w:pPr>
            <w:r>
              <w:rPr>
                <w:rFonts w:ascii="Times New Roman" w:hAnsi="Times New Roman" w:cs="Times New Roman"/>
                <w:b w:val="0"/>
                <w:i w:val="0"/>
                <w:color w:val="1E293B"/>
                <w:sz w:val="19"/>
              </w:rPr>
              <w:t>test_email_url_engine.py</w:t>
            </w:r>
          </w:p>
        </w:tc>
        <w:tc>
          <w:tcPr>
            <w:tcW w:type="dxa" w:w="3888"/>
          </w:tcPr>
          <w:p>
            <w:pPr>
              <w:jc w:val="left"/>
            </w:pPr>
            <w:r>
              <w:rPr>
                <w:rFonts w:ascii="Times New Roman" w:hAnsi="Times New Roman" w:cs="Times New Roman"/>
                <w:b w:val="0"/>
                <w:i w:val="0"/>
                <w:color w:val="1E293B"/>
                <w:sz w:val="19"/>
              </w:rPr>
              <w:t>MIME email parsing, SPF/DKIM/DMARC validation, and Shannon entropy checks</w:t>
            </w:r>
          </w:p>
        </w:tc>
        <w:tc>
          <w:tcPr>
            <w:tcW w:type="dxa" w:w="2016"/>
          </w:tcPr>
          <w:p>
            <w:pPr>
              <w:jc w:val="left"/>
            </w:pPr>
            <w:r>
              <w:rPr>
                <w:rFonts w:ascii="Times New Roman" w:hAnsi="Times New Roman" w:cs="Times New Roman"/>
                <w:b w:val="0"/>
                <w:i w:val="0"/>
                <w:color w:val="1E293B"/>
                <w:sz w:val="19"/>
              </w:rPr>
              <w:t>3 / 3 Checks Passed (100%)</w:t>
            </w:r>
          </w:p>
        </w:tc>
      </w:tr>
      <w:tr>
        <w:tc>
          <w:tcPr>
            <w:tcW w:type="dxa" w:w="3024"/>
          </w:tcPr>
          <w:p>
            <w:pPr>
              <w:jc w:val="left"/>
            </w:pPr>
            <w:r>
              <w:rPr>
                <w:rFonts w:ascii="Times New Roman" w:hAnsi="Times New Roman" w:cs="Times New Roman"/>
                <w:b w:val="0"/>
                <w:i w:val="0"/>
                <w:color w:val="1E293B"/>
                <w:sz w:val="19"/>
              </w:rPr>
              <w:t>test_ai_investigation.py</w:t>
            </w:r>
          </w:p>
        </w:tc>
        <w:tc>
          <w:tcPr>
            <w:tcW w:type="dxa" w:w="3888"/>
          </w:tcPr>
          <w:p>
            <w:pPr>
              <w:jc w:val="left"/>
            </w:pPr>
            <w:r>
              <w:rPr>
                <w:rFonts w:ascii="Times New Roman" w:hAnsi="Times New Roman" w:cs="Times New Roman"/>
                <w:b w:val="0"/>
                <w:i w:val="0"/>
                <w:color w:val="1E293B"/>
                <w:sz w:val="19"/>
              </w:rPr>
              <w:t>Raw EML investigation, anti-hallucination guard on empty evidence</w:t>
            </w:r>
          </w:p>
        </w:tc>
        <w:tc>
          <w:tcPr>
            <w:tcW w:type="dxa" w:w="2016"/>
          </w:tcPr>
          <w:p>
            <w:pPr>
              <w:jc w:val="left"/>
            </w:pPr>
            <w:r>
              <w:rPr>
                <w:rFonts w:ascii="Times New Roman" w:hAnsi="Times New Roman" w:cs="Times New Roman"/>
                <w:b w:val="0"/>
                <w:i w:val="0"/>
                <w:color w:val="1E293B"/>
                <w:sz w:val="19"/>
              </w:rPr>
              <w:t>3 / 3 Checks Passed (100%)</w:t>
            </w:r>
          </w:p>
        </w:tc>
      </w:tr>
    </w:tbl>
    <w:p>
      <w:pPr>
        <w:spacing w:after="140"/>
      </w:pPr>
    </w:p>
    <w:p>
      <w:pPr>
        <w:pStyle w:val="Heading3"/>
        <w:jc w:val="left"/>
        <w:spacing w:before="180" w:after="80"/>
      </w:pPr>
      <w:r>
        <w:rPr>
          <w:rFonts w:ascii="Times New Roman" w:hAnsi="Times New Roman" w:cs="Times New Roman"/>
          <w:b/>
          <w:i w:val="0"/>
          <w:sz w:val="26"/>
        </w:rPr>
        <w:t>5.2.2 Frontend Build Verification</w:t>
      </w:r>
    </w:p>
    <w:p>
      <w:pPr>
        <w:jc w:val="both"/>
        <w:spacing w:before="0" w:after="140" w:line="300" w:lineRule="auto"/>
      </w:pPr>
      <w:r>
        <w:rPr>
          <w:rFonts w:ascii="Times New Roman" w:hAnsi="Times New Roman" w:cs="Times New Roman"/>
          <w:b w:val="0"/>
          <w:i w:val="0"/>
          <w:sz w:val="24"/>
        </w:rPr>
        <w:t>The React 18 single-page application was validated via production build execution (npm run build). The Vite bundler and TypeScript compiler completed compilation without errors: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&gt; semantic-shield-ai@1.0.0 build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&gt; tsc &amp;&amp; vite build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xml:space="preserve"> </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vite v6.0.5 building for production...</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transforming...</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2236 modules transformed.</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rendering chunks...</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computing gzip size...</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dist/index.html                   0.95 kB │ gzip:   0.54 kB</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dist/assets/index-BjCek08Z.css   47.87 kB │ gzip:   8.39 kB</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dist/assets/index-PZVzU0f9.js   767.82 kB │ gzip: 209.68 kB</w:t>
      </w:r>
    </w:p>
    <w:p>
      <w:pPr>
        <w:jc w:val="left"/>
        <w:spacing w:before="0" w:after="0" w:line="200" w:lineRule="auto"/>
        <w:pBdr>
          <w:left w:val="single" w:sz="12" w:space="8" w:color="0284C7"/>
        </w:pBdr>
        <w:shd w:val="clear" w:color="auto" w:fill="F3F4F6"/>
      </w:pPr>
      <w:r>
        <w:rPr>
          <w:rFonts w:ascii="Courier New" w:hAnsi="Courier New" w:cs="Courier New"/>
          <w:b w:val="0"/>
          <w:i w:val="0"/>
          <w:color w:val="1E293B"/>
          <w:sz w:val="16"/>
        </w:rPr>
        <w:t>✓ built in 9.76s</w:t>
      </w:r>
    </w:p>
    <w:p>
      <w:pPr>
        <w:spacing w:after="120"/>
      </w:pPr>
    </w:p>
    <w:p>
      <w:pPr>
        <w:pStyle w:val="Heading3"/>
        <w:jc w:val="left"/>
        <w:spacing w:before="180" w:after="80"/>
      </w:pPr>
      <w:r>
        <w:rPr>
          <w:rFonts w:ascii="Times New Roman" w:hAnsi="Times New Roman" w:cs="Times New Roman"/>
          <w:b/>
          <w:i w:val="0"/>
          <w:sz w:val="26"/>
        </w:rPr>
        <w:t>5.2.3 Functional Test Cases</w:t>
      </w:r>
    </w:p>
    <w:p>
      <w:pPr>
        <w:jc w:val="both"/>
        <w:spacing w:before="0" w:after="140" w:line="300" w:lineRule="auto"/>
      </w:pPr>
      <w:r>
        <w:rPr>
          <w:rFonts w:ascii="Times New Roman" w:hAnsi="Times New Roman" w:cs="Times New Roman"/>
          <w:b w:val="0"/>
          <w:i w:val="0"/>
          <w:sz w:val="24"/>
        </w:rPr>
        <w:t>Ten representative functional test cases were executed to validate core application behaviors against expected operational criteria. Table 5.2 summarizes the functional verification.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1805"/>
        <w:gridCol w:w="1805"/>
        <w:gridCol w:w="1805"/>
        <w:gridCol w:w="1805"/>
        <w:gridCol w:w="1805"/>
      </w:tblGrid>
      <w:tr>
        <w:tc>
          <w:tcPr>
            <w:tcW w:type="dxa" w:w="576"/>
            <w:shd w:val="clear" w:color="auto" w:fill="D9E2F3"/>
          </w:tcPr>
          <w:p>
            <w:pPr>
              <w:jc w:val="left"/>
            </w:pPr>
            <w:r>
              <w:rPr>
                <w:rFonts w:ascii="Times New Roman" w:hAnsi="Times New Roman" w:cs="Times New Roman"/>
                <w:b/>
                <w:i w:val="0"/>
                <w:color w:val="0F172A"/>
                <w:sz w:val="20"/>
              </w:rPr>
              <w:t>#</w:t>
            </w:r>
          </w:p>
        </w:tc>
        <w:tc>
          <w:tcPr>
            <w:tcW w:type="dxa" w:w="2592"/>
            <w:shd w:val="clear" w:color="auto" w:fill="D9E2F3"/>
          </w:tcPr>
          <w:p>
            <w:pPr>
              <w:jc w:val="left"/>
            </w:pPr>
            <w:r>
              <w:rPr>
                <w:rFonts w:ascii="Times New Roman" w:hAnsi="Times New Roman" w:cs="Times New Roman"/>
                <w:b/>
                <w:i w:val="0"/>
                <w:color w:val="0F172A"/>
                <w:sz w:val="20"/>
              </w:rPr>
              <w:t>Functional Scenario</w:t>
            </w:r>
          </w:p>
        </w:tc>
        <w:tc>
          <w:tcPr>
            <w:tcW w:type="dxa" w:w="2016"/>
            <w:shd w:val="clear" w:color="auto" w:fill="D9E2F3"/>
          </w:tcPr>
          <w:p>
            <w:pPr>
              <w:jc w:val="left"/>
            </w:pPr>
            <w:r>
              <w:rPr>
                <w:rFonts w:ascii="Times New Roman" w:hAnsi="Times New Roman" w:cs="Times New Roman"/>
                <w:b/>
                <w:i w:val="0"/>
                <w:color w:val="0F172A"/>
                <w:sz w:val="20"/>
              </w:rPr>
              <w:t>Input Telemetry</w:t>
            </w:r>
          </w:p>
        </w:tc>
        <w:tc>
          <w:tcPr>
            <w:tcW w:type="dxa" w:w="2304"/>
            <w:shd w:val="clear" w:color="auto" w:fill="D9E2F3"/>
          </w:tcPr>
          <w:p>
            <w:pPr>
              <w:jc w:val="left"/>
            </w:pPr>
            <w:r>
              <w:rPr>
                <w:rFonts w:ascii="Times New Roman" w:hAnsi="Times New Roman" w:cs="Times New Roman"/>
                <w:b/>
                <w:i w:val="0"/>
                <w:color w:val="0F172A"/>
                <w:sz w:val="20"/>
              </w:rPr>
              <w:t>Expected Operational Result</w:t>
            </w:r>
          </w:p>
        </w:tc>
        <w:tc>
          <w:tcPr>
            <w:tcW w:type="dxa" w:w="1440"/>
            <w:shd w:val="clear" w:color="auto" w:fill="D9E2F3"/>
          </w:tcPr>
          <w:p>
            <w:pPr>
              <w:jc w:val="left"/>
            </w:pPr>
            <w:r>
              <w:rPr>
                <w:rFonts w:ascii="Times New Roman" w:hAnsi="Times New Roman" w:cs="Times New Roman"/>
                <w:b/>
                <w:i w:val="0"/>
                <w:color w:val="0F172A"/>
                <w:sz w:val="20"/>
              </w:rPr>
              <w:t>Verification Method</w:t>
            </w:r>
          </w:p>
        </w:tc>
      </w:tr>
      <w:tr>
        <w:tc>
          <w:tcPr>
            <w:tcW w:type="dxa" w:w="576"/>
          </w:tcPr>
          <w:p>
            <w:pPr>
              <w:jc w:val="left"/>
            </w:pPr>
            <w:r>
              <w:rPr>
                <w:rFonts w:ascii="Times New Roman" w:hAnsi="Times New Roman" w:cs="Times New Roman"/>
                <w:b w:val="0"/>
                <w:i w:val="0"/>
                <w:color w:val="1E293B"/>
                <w:sz w:val="19"/>
              </w:rPr>
              <w:t>1</w:t>
            </w:r>
          </w:p>
        </w:tc>
        <w:tc>
          <w:tcPr>
            <w:tcW w:type="dxa" w:w="2592"/>
          </w:tcPr>
          <w:p>
            <w:pPr>
              <w:jc w:val="left"/>
            </w:pPr>
            <w:r>
              <w:rPr>
                <w:rFonts w:ascii="Times New Roman" w:hAnsi="Times New Roman" w:cs="Times New Roman"/>
                <w:b w:val="0"/>
                <w:i w:val="0"/>
                <w:color w:val="1E293B"/>
                <w:sz w:val="19"/>
              </w:rPr>
              <w:t>Credential Harvesting Scam</w:t>
            </w:r>
          </w:p>
        </w:tc>
        <w:tc>
          <w:tcPr>
            <w:tcW w:type="dxa" w:w="2016"/>
          </w:tcPr>
          <w:p>
            <w:pPr>
              <w:jc w:val="left"/>
            </w:pPr>
            <w:r>
              <w:rPr>
                <w:rFonts w:ascii="Times New Roman" w:hAnsi="Times New Roman" w:cs="Times New Roman"/>
                <w:b w:val="0"/>
                <w:i w:val="0"/>
                <w:color w:val="1E293B"/>
                <w:sz w:val="19"/>
              </w:rPr>
              <w:t>SIM-EML-001 (M365 Reset)</w:t>
            </w:r>
          </w:p>
        </w:tc>
        <w:tc>
          <w:tcPr>
            <w:tcW w:type="dxa" w:w="2304"/>
          </w:tcPr>
          <w:p>
            <w:pPr>
              <w:jc w:val="left"/>
            </w:pPr>
            <w:r>
              <w:rPr>
                <w:rFonts w:ascii="Times New Roman" w:hAnsi="Times New Roman" w:cs="Times New Roman"/>
                <w:b w:val="0"/>
                <w:i w:val="0"/>
                <w:color w:val="1E293B"/>
                <w:sz w:val="19"/>
              </w:rPr>
              <w:t>Flagged DANGEROUS; Risk Score 84</w:t>
            </w:r>
          </w:p>
        </w:tc>
        <w:tc>
          <w:tcPr>
            <w:tcW w:type="dxa" w:w="1440"/>
          </w:tcPr>
          <w:p>
            <w:pPr>
              <w:jc w:val="left"/>
            </w:pPr>
            <w:r>
              <w:rPr>
                <w:rFonts w:ascii="Times New Roman" w:hAnsi="Times New Roman" w:cs="Times New Roman"/>
                <w:b w:val="0"/>
                <w:i w:val="0"/>
                <w:color w:val="1E293B"/>
                <w:sz w:val="19"/>
              </w:rPr>
              <w:t>Automated Simulator</w:t>
            </w:r>
          </w:p>
        </w:tc>
      </w:tr>
      <w:tr>
        <w:tc>
          <w:tcPr>
            <w:tcW w:type="dxa" w:w="576"/>
          </w:tcPr>
          <w:p>
            <w:pPr>
              <w:jc w:val="left"/>
            </w:pPr>
            <w:r>
              <w:rPr>
                <w:rFonts w:ascii="Times New Roman" w:hAnsi="Times New Roman" w:cs="Times New Roman"/>
                <w:b w:val="0"/>
                <w:i w:val="0"/>
                <w:color w:val="1E293B"/>
                <w:sz w:val="19"/>
              </w:rPr>
              <w:t>2</w:t>
            </w:r>
          </w:p>
        </w:tc>
        <w:tc>
          <w:tcPr>
            <w:tcW w:type="dxa" w:w="2592"/>
          </w:tcPr>
          <w:p>
            <w:pPr>
              <w:jc w:val="left"/>
            </w:pPr>
            <w:r>
              <w:rPr>
                <w:rFonts w:ascii="Times New Roman" w:hAnsi="Times New Roman" w:cs="Times New Roman"/>
                <w:b w:val="0"/>
                <w:i w:val="0"/>
                <w:color w:val="1E293B"/>
                <w:sz w:val="19"/>
              </w:rPr>
              <w:t>Executive Wire Transfer</w:t>
            </w:r>
          </w:p>
        </w:tc>
        <w:tc>
          <w:tcPr>
            <w:tcW w:type="dxa" w:w="2016"/>
          </w:tcPr>
          <w:p>
            <w:pPr>
              <w:jc w:val="left"/>
            </w:pPr>
            <w:r>
              <w:rPr>
                <w:rFonts w:ascii="Times New Roman" w:hAnsi="Times New Roman" w:cs="Times New Roman"/>
                <w:b w:val="0"/>
                <w:i w:val="0"/>
                <w:color w:val="1E293B"/>
                <w:sz w:val="19"/>
              </w:rPr>
              <w:t>SIM-EML-002 ($145k wire)</w:t>
            </w:r>
          </w:p>
        </w:tc>
        <w:tc>
          <w:tcPr>
            <w:tcW w:type="dxa" w:w="2304"/>
          </w:tcPr>
          <w:p>
            <w:pPr>
              <w:jc w:val="left"/>
            </w:pPr>
            <w:r>
              <w:rPr>
                <w:rFonts w:ascii="Times New Roman" w:hAnsi="Times New Roman" w:cs="Times New Roman"/>
                <w:b w:val="0"/>
                <w:i w:val="0"/>
                <w:color w:val="1E293B"/>
                <w:sz w:val="19"/>
              </w:rPr>
              <w:t>High-severity financial coercion alert</w:t>
            </w:r>
          </w:p>
        </w:tc>
        <w:tc>
          <w:tcPr>
            <w:tcW w:type="dxa" w:w="1440"/>
          </w:tcPr>
          <w:p>
            <w:pPr>
              <w:jc w:val="left"/>
            </w:pPr>
            <w:r>
              <w:rPr>
                <w:rFonts w:ascii="Times New Roman" w:hAnsi="Times New Roman" w:cs="Times New Roman"/>
                <w:b w:val="0"/>
                <w:i w:val="0"/>
                <w:color w:val="1E293B"/>
                <w:sz w:val="19"/>
              </w:rPr>
              <w:t>Automated Simulator</w:t>
            </w:r>
          </w:p>
        </w:tc>
      </w:tr>
      <w:tr>
        <w:tc>
          <w:tcPr>
            <w:tcW w:type="dxa" w:w="576"/>
          </w:tcPr>
          <w:p>
            <w:pPr>
              <w:jc w:val="left"/>
            </w:pPr>
            <w:r>
              <w:rPr>
                <w:rFonts w:ascii="Times New Roman" w:hAnsi="Times New Roman" w:cs="Times New Roman"/>
                <w:b w:val="0"/>
                <w:i w:val="0"/>
                <w:color w:val="1E293B"/>
                <w:sz w:val="19"/>
              </w:rPr>
              <w:t>3</w:t>
            </w:r>
          </w:p>
        </w:tc>
        <w:tc>
          <w:tcPr>
            <w:tcW w:type="dxa" w:w="2592"/>
          </w:tcPr>
          <w:p>
            <w:pPr>
              <w:jc w:val="left"/>
            </w:pPr>
            <w:r>
              <w:rPr>
                <w:rFonts w:ascii="Times New Roman" w:hAnsi="Times New Roman" w:cs="Times New Roman"/>
                <w:b w:val="0"/>
                <w:i w:val="0"/>
                <w:color w:val="1E293B"/>
                <w:sz w:val="19"/>
              </w:rPr>
              <w:t>QR Code Phishing (Quishing)</w:t>
            </w:r>
          </w:p>
        </w:tc>
        <w:tc>
          <w:tcPr>
            <w:tcW w:type="dxa" w:w="2016"/>
          </w:tcPr>
          <w:p>
            <w:pPr>
              <w:jc w:val="left"/>
            </w:pPr>
            <w:r>
              <w:rPr>
                <w:rFonts w:ascii="Times New Roman" w:hAnsi="Times New Roman" w:cs="Times New Roman"/>
                <w:b w:val="0"/>
                <w:i w:val="0"/>
                <w:color w:val="1E293B"/>
                <w:sz w:val="19"/>
              </w:rPr>
              <w:t>SIM-EML-003 (Payroll QR)</w:t>
            </w:r>
          </w:p>
        </w:tc>
        <w:tc>
          <w:tcPr>
            <w:tcW w:type="dxa" w:w="2304"/>
          </w:tcPr>
          <w:p>
            <w:pPr>
              <w:jc w:val="left"/>
            </w:pPr>
            <w:r>
              <w:rPr>
                <w:rFonts w:ascii="Times New Roman" w:hAnsi="Times New Roman" w:cs="Times New Roman"/>
                <w:b w:val="0"/>
                <w:i w:val="0"/>
                <w:color w:val="1E293B"/>
                <w:sz w:val="19"/>
              </w:rPr>
              <w:t>Extracted embedded QR; MITRE T1566.003</w:t>
            </w:r>
          </w:p>
        </w:tc>
        <w:tc>
          <w:tcPr>
            <w:tcW w:type="dxa" w:w="1440"/>
          </w:tcPr>
          <w:p>
            <w:pPr>
              <w:jc w:val="left"/>
            </w:pPr>
            <w:r>
              <w:rPr>
                <w:rFonts w:ascii="Times New Roman" w:hAnsi="Times New Roman" w:cs="Times New Roman"/>
                <w:b w:val="0"/>
                <w:i w:val="0"/>
                <w:color w:val="1E293B"/>
                <w:sz w:val="19"/>
              </w:rPr>
              <w:t>Email Intelligence Engine</w:t>
            </w:r>
          </w:p>
        </w:tc>
      </w:tr>
      <w:tr>
        <w:tc>
          <w:tcPr>
            <w:tcW w:type="dxa" w:w="576"/>
          </w:tcPr>
          <w:p>
            <w:pPr>
              <w:jc w:val="left"/>
            </w:pPr>
            <w:r>
              <w:rPr>
                <w:rFonts w:ascii="Times New Roman" w:hAnsi="Times New Roman" w:cs="Times New Roman"/>
                <w:b w:val="0"/>
                <w:i w:val="0"/>
                <w:color w:val="1E293B"/>
                <w:sz w:val="19"/>
              </w:rPr>
              <w:t>4</w:t>
            </w:r>
          </w:p>
        </w:tc>
        <w:tc>
          <w:tcPr>
            <w:tcW w:type="dxa" w:w="2592"/>
          </w:tcPr>
          <w:p>
            <w:pPr>
              <w:jc w:val="left"/>
            </w:pPr>
            <w:r>
              <w:rPr>
                <w:rFonts w:ascii="Times New Roman" w:hAnsi="Times New Roman" w:cs="Times New Roman"/>
                <w:b w:val="0"/>
                <w:i w:val="0"/>
                <w:color w:val="1E293B"/>
                <w:sz w:val="19"/>
              </w:rPr>
              <w:t>Legitimate Control Scenario</w:t>
            </w:r>
          </w:p>
        </w:tc>
        <w:tc>
          <w:tcPr>
            <w:tcW w:type="dxa" w:w="2016"/>
          </w:tcPr>
          <w:p>
            <w:pPr>
              <w:jc w:val="left"/>
            </w:pPr>
            <w:r>
              <w:rPr>
                <w:rFonts w:ascii="Times New Roman" w:hAnsi="Times New Roman" w:cs="Times New Roman"/>
                <w:b w:val="0"/>
                <w:i w:val="0"/>
                <w:color w:val="1E293B"/>
                <w:sz w:val="19"/>
              </w:rPr>
              <w:t>SIM-EML-007 (Weekly Standup)</w:t>
            </w:r>
          </w:p>
        </w:tc>
        <w:tc>
          <w:tcPr>
            <w:tcW w:type="dxa" w:w="2304"/>
          </w:tcPr>
          <w:p>
            <w:pPr>
              <w:jc w:val="left"/>
            </w:pPr>
            <w:r>
              <w:rPr>
                <w:rFonts w:ascii="Times New Roman" w:hAnsi="Times New Roman" w:cs="Times New Roman"/>
                <w:b w:val="0"/>
                <w:i w:val="0"/>
                <w:color w:val="1E293B"/>
                <w:sz w:val="19"/>
              </w:rPr>
              <w:t>Flagged SAFE; Risk Score 18</w:t>
            </w:r>
          </w:p>
        </w:tc>
        <w:tc>
          <w:tcPr>
            <w:tcW w:type="dxa" w:w="1440"/>
          </w:tcPr>
          <w:p>
            <w:pPr>
              <w:jc w:val="left"/>
            </w:pPr>
            <w:r>
              <w:rPr>
                <w:rFonts w:ascii="Times New Roman" w:hAnsi="Times New Roman" w:cs="Times New Roman"/>
                <w:b w:val="0"/>
                <w:i w:val="0"/>
                <w:color w:val="1E293B"/>
                <w:sz w:val="19"/>
              </w:rPr>
              <w:t>Automated Simulator</w:t>
            </w:r>
          </w:p>
        </w:tc>
      </w:tr>
      <w:tr>
        <w:tc>
          <w:tcPr>
            <w:tcW w:type="dxa" w:w="576"/>
          </w:tcPr>
          <w:p>
            <w:pPr>
              <w:jc w:val="left"/>
            </w:pPr>
            <w:r>
              <w:rPr>
                <w:rFonts w:ascii="Times New Roman" w:hAnsi="Times New Roman" w:cs="Times New Roman"/>
                <w:b w:val="0"/>
                <w:i w:val="0"/>
                <w:color w:val="1E293B"/>
                <w:sz w:val="19"/>
              </w:rPr>
              <w:t>5</w:t>
            </w:r>
          </w:p>
        </w:tc>
        <w:tc>
          <w:tcPr>
            <w:tcW w:type="dxa" w:w="2592"/>
          </w:tcPr>
          <w:p>
            <w:pPr>
              <w:jc w:val="left"/>
            </w:pPr>
            <w:r>
              <w:rPr>
                <w:rFonts w:ascii="Times New Roman" w:hAnsi="Times New Roman" w:cs="Times New Roman"/>
                <w:b w:val="0"/>
                <w:i w:val="0"/>
                <w:color w:val="1E293B"/>
                <w:sz w:val="19"/>
              </w:rPr>
              <w:t>Senior Developer Persona</w:t>
            </w:r>
          </w:p>
        </w:tc>
        <w:tc>
          <w:tcPr>
            <w:tcW w:type="dxa" w:w="2016"/>
          </w:tcPr>
          <w:p>
            <w:pPr>
              <w:jc w:val="left"/>
            </w:pPr>
            <w:r>
              <w:rPr>
                <w:rFonts w:ascii="Times New Roman" w:hAnsi="Times New Roman" w:cs="Times New Roman"/>
                <w:b w:val="0"/>
                <w:i w:val="0"/>
                <w:color w:val="1E293B"/>
                <w:sz w:val="19"/>
              </w:rPr>
              <w:t>Dev Profile on Malicious Lures</w:t>
            </w:r>
          </w:p>
        </w:tc>
        <w:tc>
          <w:tcPr>
            <w:tcW w:type="dxa" w:w="2304"/>
          </w:tcPr>
          <w:p>
            <w:pPr>
              <w:jc w:val="left"/>
            </w:pPr>
            <w:r>
              <w:rPr>
                <w:rFonts w:ascii="Times New Roman" w:hAnsi="Times New Roman" w:cs="Times New Roman"/>
                <w:b w:val="0"/>
                <w:i w:val="0"/>
                <w:color w:val="1E293B"/>
                <w:sz w:val="19"/>
              </w:rPr>
              <w:t>100% rejection rate; [SAFE] tag</w:t>
            </w:r>
          </w:p>
        </w:tc>
        <w:tc>
          <w:tcPr>
            <w:tcW w:type="dxa" w:w="1440"/>
          </w:tcPr>
          <w:p>
            <w:pPr>
              <w:jc w:val="left"/>
            </w:pPr>
            <w:r>
              <w:rPr>
                <w:rFonts w:ascii="Times New Roman" w:hAnsi="Times New Roman" w:cs="Times New Roman"/>
                <w:b w:val="0"/>
                <w:i w:val="0"/>
                <w:color w:val="1E293B"/>
                <w:sz w:val="19"/>
              </w:rPr>
              <w:t>Simulation Engine</w:t>
            </w:r>
          </w:p>
        </w:tc>
      </w:tr>
      <w:tr>
        <w:tc>
          <w:tcPr>
            <w:tcW w:type="dxa" w:w="576"/>
          </w:tcPr>
          <w:p>
            <w:pPr>
              <w:jc w:val="left"/>
            </w:pPr>
            <w:r>
              <w:rPr>
                <w:rFonts w:ascii="Times New Roman" w:hAnsi="Times New Roman" w:cs="Times New Roman"/>
                <w:b w:val="0"/>
                <w:i w:val="0"/>
                <w:color w:val="1E293B"/>
                <w:sz w:val="19"/>
              </w:rPr>
              <w:t>6</w:t>
            </w:r>
          </w:p>
        </w:tc>
        <w:tc>
          <w:tcPr>
            <w:tcW w:type="dxa" w:w="2592"/>
          </w:tcPr>
          <w:p>
            <w:pPr>
              <w:jc w:val="left"/>
            </w:pPr>
            <w:r>
              <w:rPr>
                <w:rFonts w:ascii="Times New Roman" w:hAnsi="Times New Roman" w:cs="Times New Roman"/>
                <w:b w:val="0"/>
                <w:i w:val="0"/>
                <w:color w:val="1E293B"/>
                <w:sz w:val="19"/>
              </w:rPr>
              <w:t>Trusting HR Persona</w:t>
            </w:r>
          </w:p>
        </w:tc>
        <w:tc>
          <w:tcPr>
            <w:tcW w:type="dxa" w:w="2016"/>
          </w:tcPr>
          <w:p>
            <w:pPr>
              <w:jc w:val="left"/>
            </w:pPr>
            <w:r>
              <w:rPr>
                <w:rFonts w:ascii="Times New Roman" w:hAnsi="Times New Roman" w:cs="Times New Roman"/>
                <w:b w:val="0"/>
                <w:i w:val="0"/>
                <w:color w:val="1E293B"/>
                <w:sz w:val="19"/>
              </w:rPr>
              <w:t>HR Profile on Malicious Lures</w:t>
            </w:r>
          </w:p>
        </w:tc>
        <w:tc>
          <w:tcPr>
            <w:tcW w:type="dxa" w:w="2304"/>
          </w:tcPr>
          <w:p>
            <w:pPr>
              <w:jc w:val="left"/>
            </w:pPr>
            <w:r>
              <w:rPr>
                <w:rFonts w:ascii="Times New Roman" w:hAnsi="Times New Roman" w:cs="Times New Roman"/>
                <w:b w:val="0"/>
                <w:i w:val="0"/>
                <w:color w:val="1E293B"/>
                <w:sz w:val="19"/>
              </w:rPr>
              <w:t>100% compromise rate; [VULNERABLE] tag</w:t>
            </w:r>
          </w:p>
        </w:tc>
        <w:tc>
          <w:tcPr>
            <w:tcW w:type="dxa" w:w="1440"/>
          </w:tcPr>
          <w:p>
            <w:pPr>
              <w:jc w:val="left"/>
            </w:pPr>
            <w:r>
              <w:rPr>
                <w:rFonts w:ascii="Times New Roman" w:hAnsi="Times New Roman" w:cs="Times New Roman"/>
                <w:b w:val="0"/>
                <w:i w:val="0"/>
                <w:color w:val="1E293B"/>
                <w:sz w:val="19"/>
              </w:rPr>
              <w:t>Simulation Engine</w:t>
            </w:r>
          </w:p>
        </w:tc>
      </w:tr>
      <w:tr>
        <w:tc>
          <w:tcPr>
            <w:tcW w:type="dxa" w:w="576"/>
          </w:tcPr>
          <w:p>
            <w:pPr>
              <w:jc w:val="left"/>
            </w:pPr>
            <w:r>
              <w:rPr>
                <w:rFonts w:ascii="Times New Roman" w:hAnsi="Times New Roman" w:cs="Times New Roman"/>
                <w:b w:val="0"/>
                <w:i w:val="0"/>
                <w:color w:val="1E293B"/>
                <w:sz w:val="19"/>
              </w:rPr>
              <w:t>7</w:t>
            </w:r>
          </w:p>
        </w:tc>
        <w:tc>
          <w:tcPr>
            <w:tcW w:type="dxa" w:w="2592"/>
          </w:tcPr>
          <w:p>
            <w:pPr>
              <w:jc w:val="left"/>
            </w:pPr>
            <w:r>
              <w:rPr>
                <w:rFonts w:ascii="Times New Roman" w:hAnsi="Times New Roman" w:cs="Times New Roman"/>
                <w:b w:val="0"/>
                <w:i w:val="0"/>
                <w:color w:val="1E293B"/>
                <w:sz w:val="19"/>
              </w:rPr>
              <w:t>WebSocket Event Broadcast</w:t>
            </w:r>
          </w:p>
        </w:tc>
        <w:tc>
          <w:tcPr>
            <w:tcW w:type="dxa" w:w="2016"/>
          </w:tcPr>
          <w:p>
            <w:pPr>
              <w:jc w:val="left"/>
            </w:pPr>
            <w:r>
              <w:rPr>
                <w:rFonts w:ascii="Times New Roman" w:hAnsi="Times New Roman" w:cs="Times New Roman"/>
                <w:b w:val="0"/>
                <w:i w:val="0"/>
                <w:color w:val="1E293B"/>
                <w:sz w:val="19"/>
              </w:rPr>
              <w:t>New incident instantiation</w:t>
            </w:r>
          </w:p>
        </w:tc>
        <w:tc>
          <w:tcPr>
            <w:tcW w:type="dxa" w:w="2304"/>
          </w:tcPr>
          <w:p>
            <w:pPr>
              <w:jc w:val="left"/>
            </w:pPr>
            <w:r>
              <w:rPr>
                <w:rFonts w:ascii="Times New Roman" w:hAnsi="Times New Roman" w:cs="Times New Roman"/>
                <w:b w:val="0"/>
                <w:i w:val="0"/>
                <w:color w:val="1E293B"/>
                <w:sz w:val="19"/>
              </w:rPr>
              <w:t>Pushed to /ws/incidents without refresh</w:t>
            </w:r>
          </w:p>
        </w:tc>
        <w:tc>
          <w:tcPr>
            <w:tcW w:type="dxa" w:w="1440"/>
          </w:tcPr>
          <w:p>
            <w:pPr>
              <w:jc w:val="left"/>
            </w:pPr>
            <w:r>
              <w:rPr>
                <w:rFonts w:ascii="Times New Roman" w:hAnsi="Times New Roman" w:cs="Times New Roman"/>
                <w:b w:val="0"/>
                <w:i w:val="0"/>
                <w:color w:val="1E293B"/>
                <w:sz w:val="19"/>
              </w:rPr>
              <w:t>Live React Dashboard</w:t>
            </w:r>
          </w:p>
        </w:tc>
      </w:tr>
      <w:tr>
        <w:tc>
          <w:tcPr>
            <w:tcW w:type="dxa" w:w="576"/>
          </w:tcPr>
          <w:p>
            <w:pPr>
              <w:jc w:val="left"/>
            </w:pPr>
            <w:r>
              <w:rPr>
                <w:rFonts w:ascii="Times New Roman" w:hAnsi="Times New Roman" w:cs="Times New Roman"/>
                <w:b w:val="0"/>
                <w:i w:val="0"/>
                <w:color w:val="1E293B"/>
                <w:sz w:val="19"/>
              </w:rPr>
              <w:t>8</w:t>
            </w:r>
          </w:p>
        </w:tc>
        <w:tc>
          <w:tcPr>
            <w:tcW w:type="dxa" w:w="2592"/>
          </w:tcPr>
          <w:p>
            <w:pPr>
              <w:jc w:val="left"/>
            </w:pPr>
            <w:r>
              <w:rPr>
                <w:rFonts w:ascii="Times New Roman" w:hAnsi="Times New Roman" w:cs="Times New Roman"/>
                <w:b w:val="0"/>
                <w:i w:val="0"/>
                <w:color w:val="1E293B"/>
                <w:sz w:val="19"/>
              </w:rPr>
              <w:t>Threat Intel Mock Fallback</w:t>
            </w:r>
          </w:p>
        </w:tc>
        <w:tc>
          <w:tcPr>
            <w:tcW w:type="dxa" w:w="2016"/>
          </w:tcPr>
          <w:p>
            <w:pPr>
              <w:jc w:val="left"/>
            </w:pPr>
            <w:r>
              <w:rPr>
                <w:rFonts w:ascii="Times New Roman" w:hAnsi="Times New Roman" w:cs="Times New Roman"/>
                <w:b w:val="0"/>
                <w:i w:val="0"/>
                <w:color w:val="1E293B"/>
                <w:sz w:val="19"/>
              </w:rPr>
              <w:t>External API unavailable</w:t>
            </w:r>
          </w:p>
        </w:tc>
        <w:tc>
          <w:tcPr>
            <w:tcW w:type="dxa" w:w="2304"/>
          </w:tcPr>
          <w:p>
            <w:pPr>
              <w:jc w:val="left"/>
            </w:pPr>
            <w:r>
              <w:rPr>
                <w:rFonts w:ascii="Times New Roman" w:hAnsi="Times New Roman" w:cs="Times New Roman"/>
                <w:b w:val="0"/>
                <w:i w:val="0"/>
                <w:color w:val="1E293B"/>
                <w:sz w:val="19"/>
              </w:rPr>
              <w:t>Deterministic mock response returned</w:t>
            </w:r>
          </w:p>
        </w:tc>
        <w:tc>
          <w:tcPr>
            <w:tcW w:type="dxa" w:w="1440"/>
          </w:tcPr>
          <w:p>
            <w:pPr>
              <w:jc w:val="left"/>
            </w:pPr>
            <w:r>
              <w:rPr>
                <w:rFonts w:ascii="Times New Roman" w:hAnsi="Times New Roman" w:cs="Times New Roman"/>
                <w:b w:val="0"/>
                <w:i w:val="0"/>
                <w:color w:val="1E293B"/>
                <w:sz w:val="19"/>
              </w:rPr>
              <w:t>Threat Manager Engine</w:t>
            </w:r>
          </w:p>
        </w:tc>
      </w:tr>
      <w:tr>
        <w:tc>
          <w:tcPr>
            <w:tcW w:type="dxa" w:w="576"/>
          </w:tcPr>
          <w:p>
            <w:pPr>
              <w:jc w:val="left"/>
            </w:pPr>
            <w:r>
              <w:rPr>
                <w:rFonts w:ascii="Times New Roman" w:hAnsi="Times New Roman" w:cs="Times New Roman"/>
                <w:b w:val="0"/>
                <w:i w:val="0"/>
                <w:color w:val="1E293B"/>
                <w:sz w:val="19"/>
              </w:rPr>
              <w:t>9</w:t>
            </w:r>
          </w:p>
        </w:tc>
        <w:tc>
          <w:tcPr>
            <w:tcW w:type="dxa" w:w="2592"/>
          </w:tcPr>
          <w:p>
            <w:pPr>
              <w:jc w:val="left"/>
            </w:pPr>
            <w:r>
              <w:rPr>
                <w:rFonts w:ascii="Times New Roman" w:hAnsi="Times New Roman" w:cs="Times New Roman"/>
                <w:b w:val="0"/>
                <w:i w:val="0"/>
                <w:color w:val="1E293B"/>
                <w:sz w:val="19"/>
              </w:rPr>
              <w:t>STIX 2.1 CTI Package Export</w:t>
            </w:r>
          </w:p>
        </w:tc>
        <w:tc>
          <w:tcPr>
            <w:tcW w:type="dxa" w:w="2016"/>
          </w:tcPr>
          <w:p>
            <w:pPr>
              <w:jc w:val="left"/>
            </w:pPr>
            <w:r>
              <w:rPr>
                <w:rFonts w:ascii="Times New Roman" w:hAnsi="Times New Roman" w:cs="Times New Roman"/>
                <w:b w:val="0"/>
                <w:i w:val="0"/>
                <w:color w:val="1E293B"/>
                <w:sz w:val="19"/>
              </w:rPr>
              <w:t>Incident record export request</w:t>
            </w:r>
          </w:p>
        </w:tc>
        <w:tc>
          <w:tcPr>
            <w:tcW w:type="dxa" w:w="2304"/>
          </w:tcPr>
          <w:p>
            <w:pPr>
              <w:jc w:val="left"/>
            </w:pPr>
            <w:r>
              <w:rPr>
                <w:rFonts w:ascii="Times New Roman" w:hAnsi="Times New Roman" w:cs="Times New Roman"/>
                <w:b w:val="0"/>
                <w:i w:val="0"/>
                <w:color w:val="1E293B"/>
                <w:sz w:val="19"/>
              </w:rPr>
              <w:t>Valid JSON-LD STIX 2.1 bundle generated</w:t>
            </w:r>
          </w:p>
        </w:tc>
        <w:tc>
          <w:tcPr>
            <w:tcW w:type="dxa" w:w="1440"/>
          </w:tcPr>
          <w:p>
            <w:pPr>
              <w:jc w:val="left"/>
            </w:pPr>
            <w:r>
              <w:rPr>
                <w:rFonts w:ascii="Times New Roman" w:hAnsi="Times New Roman" w:cs="Times New Roman"/>
                <w:b w:val="0"/>
                <w:i w:val="0"/>
                <w:color w:val="1E293B"/>
                <w:sz w:val="19"/>
              </w:rPr>
              <w:t>Export Engine</w:t>
            </w:r>
          </w:p>
        </w:tc>
      </w:tr>
      <w:tr>
        <w:tc>
          <w:tcPr>
            <w:tcW w:type="dxa" w:w="576"/>
          </w:tcPr>
          <w:p>
            <w:pPr>
              <w:jc w:val="left"/>
            </w:pPr>
            <w:r>
              <w:rPr>
                <w:rFonts w:ascii="Times New Roman" w:hAnsi="Times New Roman" w:cs="Times New Roman"/>
                <w:b w:val="0"/>
                <w:i w:val="0"/>
                <w:color w:val="1E293B"/>
                <w:sz w:val="19"/>
              </w:rPr>
              <w:t>10</w:t>
            </w:r>
          </w:p>
        </w:tc>
        <w:tc>
          <w:tcPr>
            <w:tcW w:type="dxa" w:w="2592"/>
          </w:tcPr>
          <w:p>
            <w:pPr>
              <w:jc w:val="left"/>
            </w:pPr>
            <w:r>
              <w:rPr>
                <w:rFonts w:ascii="Times New Roman" w:hAnsi="Times New Roman" w:cs="Times New Roman"/>
                <w:b w:val="0"/>
                <w:i w:val="0"/>
                <w:color w:val="1E293B"/>
                <w:sz w:val="19"/>
              </w:rPr>
              <w:t>Database Server Restart</w:t>
            </w:r>
          </w:p>
        </w:tc>
        <w:tc>
          <w:tcPr>
            <w:tcW w:type="dxa" w:w="2016"/>
          </w:tcPr>
          <w:p>
            <w:pPr>
              <w:jc w:val="left"/>
            </w:pPr>
            <w:r>
              <w:rPr>
                <w:rFonts w:ascii="Times New Roman" w:hAnsi="Times New Roman" w:cs="Times New Roman"/>
                <w:b w:val="0"/>
                <w:i w:val="0"/>
                <w:color w:val="1E293B"/>
                <w:sz w:val="19"/>
              </w:rPr>
              <w:t>Full Uvicorn server restart</w:t>
            </w:r>
          </w:p>
        </w:tc>
        <w:tc>
          <w:tcPr>
            <w:tcW w:type="dxa" w:w="2304"/>
          </w:tcPr>
          <w:p>
            <w:pPr>
              <w:jc w:val="left"/>
            </w:pPr>
            <w:r>
              <w:rPr>
                <w:rFonts w:ascii="Times New Roman" w:hAnsi="Times New Roman" w:cs="Times New Roman"/>
                <w:b w:val="0"/>
                <w:i w:val="0"/>
                <w:color w:val="1E293B"/>
                <w:sz w:val="19"/>
              </w:rPr>
              <w:t>All 28 simulation records intact in SQLite</w:t>
            </w:r>
          </w:p>
        </w:tc>
        <w:tc>
          <w:tcPr>
            <w:tcW w:type="dxa" w:w="1440"/>
          </w:tcPr>
          <w:p>
            <w:pPr>
              <w:jc w:val="left"/>
            </w:pPr>
            <w:r>
              <w:rPr>
                <w:rFonts w:ascii="Times New Roman" w:hAnsi="Times New Roman" w:cs="Times New Roman"/>
                <w:b w:val="0"/>
                <w:i w:val="0"/>
                <w:color w:val="1E293B"/>
                <w:sz w:val="19"/>
              </w:rPr>
              <w:t>Analytics Dashboard</w:t>
            </w:r>
          </w:p>
        </w:tc>
      </w:tr>
    </w:tbl>
    <w:p>
      <w:pPr>
        <w:spacing w:after="140"/>
      </w:pPr>
    </w:p>
    <w:p>
      <w:pPr>
        <w:pStyle w:val="Heading3"/>
        <w:jc w:val="left"/>
        <w:spacing w:before="180" w:after="80"/>
      </w:pPr>
      <w:r>
        <w:rPr>
          <w:rFonts w:ascii="Times New Roman" w:hAnsi="Times New Roman" w:cs="Times New Roman"/>
          <w:b/>
          <w:i w:val="0"/>
          <w:sz w:val="26"/>
        </w:rPr>
        <w:t>5.2.4 Evaluation Metrics</w:t>
      </w:r>
    </w:p>
    <w:p>
      <w:pPr>
        <w:jc w:val="both"/>
        <w:spacing w:before="0" w:after="140" w:line="300" w:lineRule="auto"/>
      </w:pPr>
      <w:r>
        <w:rPr>
          <w:rFonts w:ascii="Times New Roman" w:hAnsi="Times New Roman" w:cs="Times New Roman"/>
          <w:b w:val="0"/>
          <w:i w:val="0"/>
          <w:sz w:val="24"/>
        </w:rPr>
        <w:t>To quantify platform efficacy, six formal evaluation metrics were established as defined in Table 5.3.</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4513"/>
        <w:gridCol w:w="4513"/>
      </w:tblGrid>
      <w:tr>
        <w:tc>
          <w:tcPr>
            <w:tcW w:type="dxa" w:w="2880"/>
            <w:shd w:val="clear" w:color="auto" w:fill="D9E2F3"/>
          </w:tcPr>
          <w:p>
            <w:pPr>
              <w:jc w:val="left"/>
            </w:pPr>
            <w:r>
              <w:rPr>
                <w:rFonts w:ascii="Times New Roman" w:hAnsi="Times New Roman" w:cs="Times New Roman"/>
                <w:b/>
                <w:i w:val="0"/>
                <w:color w:val="0F172A"/>
                <w:sz w:val="20"/>
              </w:rPr>
              <w:t>Evaluation Metric</w:t>
            </w:r>
          </w:p>
        </w:tc>
        <w:tc>
          <w:tcPr>
            <w:tcW w:type="dxa" w:w="6048"/>
            <w:shd w:val="clear" w:color="auto" w:fill="D9E2F3"/>
          </w:tcPr>
          <w:p>
            <w:pPr>
              <w:jc w:val="left"/>
            </w:pPr>
            <w:r>
              <w:rPr>
                <w:rFonts w:ascii="Times New Roman" w:hAnsi="Times New Roman" w:cs="Times New Roman"/>
                <w:b/>
                <w:i w:val="0"/>
                <w:color w:val="0F172A"/>
                <w:sz w:val="20"/>
              </w:rPr>
              <w:t>Operational Definition / What It Measures</w:t>
            </w:r>
          </w:p>
        </w:tc>
      </w:tr>
      <w:tr>
        <w:tc>
          <w:tcPr>
            <w:tcW w:type="dxa" w:w="2880"/>
          </w:tcPr>
          <w:p>
            <w:pPr>
              <w:jc w:val="left"/>
            </w:pPr>
            <w:r>
              <w:rPr>
                <w:rFonts w:ascii="Times New Roman" w:hAnsi="Times New Roman" w:cs="Times New Roman"/>
                <w:b w:val="0"/>
                <w:i w:val="0"/>
                <w:color w:val="1E293B"/>
                <w:sz w:val="19"/>
              </w:rPr>
              <w:t>Susceptibility Rate (%)</w:t>
            </w:r>
          </w:p>
        </w:tc>
        <w:tc>
          <w:tcPr>
            <w:tcW w:type="dxa" w:w="6048"/>
          </w:tcPr>
          <w:p>
            <w:pPr>
              <w:jc w:val="left"/>
            </w:pPr>
            <w:r>
              <w:rPr>
                <w:rFonts w:ascii="Times New Roman" w:hAnsi="Times New Roman" w:cs="Times New Roman"/>
                <w:b w:val="0"/>
                <w:i w:val="0"/>
                <w:color w:val="1E293B"/>
                <w:sz w:val="19"/>
              </w:rPr>
              <w:t>Percentage of malicious simulation runs resulting in an explicit [VULNERABLE] decision tag.</w:t>
            </w:r>
          </w:p>
        </w:tc>
      </w:tr>
      <w:tr>
        <w:tc>
          <w:tcPr>
            <w:tcW w:type="dxa" w:w="2880"/>
          </w:tcPr>
          <w:p>
            <w:pPr>
              <w:jc w:val="left"/>
            </w:pPr>
            <w:r>
              <w:rPr>
                <w:rFonts w:ascii="Times New Roman" w:hAnsi="Times New Roman" w:cs="Times New Roman"/>
                <w:b w:val="0"/>
                <w:i w:val="0"/>
                <w:color w:val="1E293B"/>
                <w:sz w:val="19"/>
              </w:rPr>
              <w:t>Decision Consistency (%)</w:t>
            </w:r>
          </w:p>
        </w:tc>
        <w:tc>
          <w:tcPr>
            <w:tcW w:type="dxa" w:w="6048"/>
          </w:tcPr>
          <w:p>
            <w:pPr>
              <w:jc w:val="left"/>
            </w:pPr>
            <w:r>
              <w:rPr>
                <w:rFonts w:ascii="Times New Roman" w:hAnsi="Times New Roman" w:cs="Times New Roman"/>
                <w:b w:val="0"/>
                <w:i w:val="0"/>
                <w:color w:val="1E293B"/>
                <w:sz w:val="19"/>
              </w:rPr>
              <w:t>Reproducibility of decisions across repeated runs of identical scenario-profile pairs (n=3).</w:t>
            </w:r>
          </w:p>
        </w:tc>
      </w:tr>
      <w:tr>
        <w:tc>
          <w:tcPr>
            <w:tcW w:type="dxa" w:w="2880"/>
          </w:tcPr>
          <w:p>
            <w:pPr>
              <w:jc w:val="left"/>
            </w:pPr>
            <w:r>
              <w:rPr>
                <w:rFonts w:ascii="Times New Roman" w:hAnsi="Times New Roman" w:cs="Times New Roman"/>
                <w:b w:val="0"/>
                <w:i w:val="0"/>
                <w:color w:val="1E293B"/>
                <w:sz w:val="19"/>
              </w:rPr>
              <w:t>Risk Score Separation</w:t>
            </w:r>
          </w:p>
        </w:tc>
        <w:tc>
          <w:tcPr>
            <w:tcW w:type="dxa" w:w="6048"/>
          </w:tcPr>
          <w:p>
            <w:pPr>
              <w:jc w:val="left"/>
            </w:pPr>
            <w:r>
              <w:rPr>
                <w:rFonts w:ascii="Times New Roman" w:hAnsi="Times New Roman" w:cs="Times New Roman"/>
                <w:b w:val="0"/>
                <w:i w:val="0"/>
                <w:color w:val="1E293B"/>
                <w:sz w:val="19"/>
              </w:rPr>
              <w:t>Statistical bimodal distinction between vulnerable scores (84) and safe scores (18).</w:t>
            </w:r>
          </w:p>
        </w:tc>
      </w:tr>
      <w:tr>
        <w:tc>
          <w:tcPr>
            <w:tcW w:type="dxa" w:w="2880"/>
          </w:tcPr>
          <w:p>
            <w:pPr>
              <w:jc w:val="left"/>
            </w:pPr>
            <w:r>
              <w:rPr>
                <w:rFonts w:ascii="Times New Roman" w:hAnsi="Times New Roman" w:cs="Times New Roman"/>
                <w:b w:val="0"/>
                <w:i w:val="0"/>
                <w:color w:val="1E293B"/>
                <w:sz w:val="19"/>
              </w:rPr>
              <w:t>End-to-End Latency (s)</w:t>
            </w:r>
          </w:p>
        </w:tc>
        <w:tc>
          <w:tcPr>
            <w:tcW w:type="dxa" w:w="6048"/>
          </w:tcPr>
          <w:p>
            <w:pPr>
              <w:jc w:val="left"/>
            </w:pPr>
            <w:r>
              <w:rPr>
                <w:rFonts w:ascii="Times New Roman" w:hAnsi="Times New Roman" w:cs="Times New Roman"/>
                <w:b w:val="0"/>
                <w:i w:val="0"/>
                <w:color w:val="1E293B"/>
                <w:sz w:val="19"/>
              </w:rPr>
              <w:t>Elapsed duration from HTTP POST submission to final stream completion and database commit.</w:t>
            </w:r>
          </w:p>
        </w:tc>
      </w:tr>
      <w:tr>
        <w:tc>
          <w:tcPr>
            <w:tcW w:type="dxa" w:w="2880"/>
          </w:tcPr>
          <w:p>
            <w:pPr>
              <w:jc w:val="left"/>
            </w:pPr>
            <w:r>
              <w:rPr>
                <w:rFonts w:ascii="Times New Roman" w:hAnsi="Times New Roman" w:cs="Times New Roman"/>
                <w:b w:val="0"/>
                <w:i w:val="0"/>
                <w:color w:val="1E293B"/>
                <w:sz w:val="19"/>
              </w:rPr>
              <w:t>Detection Accuracy (%)</w:t>
            </w:r>
          </w:p>
        </w:tc>
        <w:tc>
          <w:tcPr>
            <w:tcW w:type="dxa" w:w="6048"/>
          </w:tcPr>
          <w:p>
            <w:pPr>
              <w:jc w:val="left"/>
            </w:pPr>
            <w:r>
              <w:rPr>
                <w:rFonts w:ascii="Times New Roman" w:hAnsi="Times New Roman" w:cs="Times New Roman"/>
                <w:b w:val="0"/>
                <w:i w:val="0"/>
                <w:color w:val="1E293B"/>
                <w:sz w:val="19"/>
              </w:rPr>
              <w:t>Correct classification of known malicious versus benign URLs in the benchmark suite.</w:t>
            </w:r>
          </w:p>
        </w:tc>
      </w:tr>
      <w:tr>
        <w:tc>
          <w:tcPr>
            <w:tcW w:type="dxa" w:w="2880"/>
          </w:tcPr>
          <w:p>
            <w:pPr>
              <w:jc w:val="left"/>
            </w:pPr>
            <w:r>
              <w:rPr>
                <w:rFonts w:ascii="Times New Roman" w:hAnsi="Times New Roman" w:cs="Times New Roman"/>
                <w:b w:val="0"/>
                <w:i w:val="0"/>
                <w:color w:val="1E293B"/>
                <w:sz w:val="19"/>
              </w:rPr>
              <w:t>Zero Fallback Failures</w:t>
            </w:r>
          </w:p>
        </w:tc>
        <w:tc>
          <w:tcPr>
            <w:tcW w:type="dxa" w:w="6048"/>
          </w:tcPr>
          <w:p>
            <w:pPr>
              <w:jc w:val="left"/>
            </w:pPr>
            <w:r>
              <w:rPr>
                <w:rFonts w:ascii="Times New Roman" w:hAnsi="Times New Roman" w:cs="Times New Roman"/>
                <w:b w:val="0"/>
                <w:i w:val="0"/>
                <w:color w:val="1E293B"/>
                <w:sz w:val="19"/>
              </w:rPr>
              <w:t>Zero total pipeline crashes when third-party intelligence APIs are unreachable.</w:t>
            </w:r>
          </w:p>
        </w:tc>
      </w:tr>
    </w:tbl>
    <w:p>
      <w:pPr>
        <w:spacing w:after="140"/>
      </w:pPr>
    </w:p>
    <w:p>
      <w:pPr>
        <w:pStyle w:val="Heading2"/>
        <w:jc w:val="left"/>
        <w:spacing w:before="240" w:after="120"/>
      </w:pPr>
      <w:r>
        <w:rPr>
          <w:rFonts w:ascii="Times New Roman" w:hAnsi="Times New Roman" w:cs="Times New Roman"/>
          <w:b/>
          <w:i w:val="0"/>
          <w:sz w:val="28"/>
        </w:rPr>
        <w:t>5.3 Result Analysis</w:t>
      </w:r>
    </w:p>
    <w:p>
      <w:pPr>
        <w:pStyle w:val="Heading3"/>
        <w:jc w:val="left"/>
        <w:spacing w:before="180" w:after="80"/>
      </w:pPr>
      <w:r>
        <w:rPr>
          <w:rFonts w:ascii="Times New Roman" w:hAnsi="Times New Roman" w:cs="Times New Roman"/>
          <w:b/>
          <w:i w:val="0"/>
          <w:sz w:val="26"/>
        </w:rPr>
        <w:t>5.3.1 Result Summary</w:t>
      </w:r>
    </w:p>
    <w:p>
      <w:pPr>
        <w:jc w:val="both"/>
        <w:spacing w:before="0" w:after="140" w:line="300" w:lineRule="auto"/>
      </w:pPr>
      <w:r>
        <w:rPr>
          <w:rFonts w:ascii="Times New Roman" w:hAnsi="Times New Roman" w:cs="Times New Roman"/>
          <w:b w:val="0"/>
          <w:i w:val="0"/>
          <w:sz w:val="24"/>
        </w:rPr>
        <w:t>The quantitative evaluation of SemanticShield AI was conducted across 84 live experimental runs, encompassing all 28 combinations of the seven simulation scenarios and four behavioral profiles across three independent repetitions (recorded in paper/data/results_all.csv).</w:t>
      </w:r>
    </w:p>
    <w:p>
      <w:pPr>
        <w:jc w:val="center"/>
        <w:spacing w:before="120" w:after="60"/>
      </w:pPr>
      <w:r>
        <w:drawing>
          <wp:inline xmlns:a="http://schemas.openxmlformats.org/drawingml/2006/main" xmlns:pic="http://schemas.openxmlformats.org/drawingml/2006/picture">
            <wp:extent cx="5577840" cy="4038059"/>
            <wp:docPr id="2040844863" name="Picture 2040844863"/>
            <wp:cNvGraphicFramePr>
              <a:graphicFrameLocks noChangeAspect="1"/>
            </wp:cNvGraphicFramePr>
            <a:graphic>
              <a:graphicData uri="http://schemas.openxmlformats.org/drawingml/2006/picture">
                <pic:pic>
                  <pic:nvPicPr>
                    <pic:cNvPr id="0" name="fig_5_6_decision_by_profile.png"/>
                    <pic:cNvPicPr/>
                  </pic:nvPicPr>
                  <pic:blipFill>
                    <a:blip r:embed="rId38"/>
                    <a:stretch>
                      <a:fillRect/>
                    </a:stretch>
                  </pic:blipFill>
                  <pic:spPr>
                    <a:xfrm>
                      <a:off x="0" y="0"/>
                      <a:ext cx="5577840" cy="4038059"/>
                    </a:xfrm>
                    <a:prstGeom prst="rect"/>
                  </pic:spPr>
                </pic:pic>
              </a:graphicData>
            </a:graphic>
          </wp:inline>
        </w:drawing>
      </w:r>
    </w:p>
    <w:p>
      <w:pPr>
        <w:jc w:val="center"/>
        <w:spacing w:before="40" w:after="200"/>
      </w:pPr>
      <w:r>
        <w:rPr>
          <w:rFonts w:ascii="Times New Roman" w:hAnsi="Times New Roman" w:cs="Times New Roman"/>
          <w:b/>
          <w:i w:val="0"/>
          <w:color w:val="0F172A"/>
          <w:sz w:val="22"/>
        </w:rPr>
        <w:t>Fig. 12  Decision Distribution ([VULNERABLE] vs [SAFE]) by Behavioral Profile</w:t>
      </w:r>
    </w:p>
    <w:p>
      <w:pPr>
        <w:jc w:val="both"/>
        <w:spacing w:before="0" w:after="140" w:line="300" w:lineRule="auto"/>
      </w:pPr>
      <w:r>
        <w:rPr>
          <w:rFonts w:ascii="Times New Roman" w:hAnsi="Times New Roman" w:cs="Times New Roman"/>
          <w:b w:val="0"/>
          <w:i w:val="0"/>
          <w:sz w:val="24"/>
        </w:rPr>
        <w:t>As illustrated in Fig. 12, the four behavioral profiles exhibited distinct, highly reproducible threat susceptibility rates across the malicious scenarios (SIM-EML-001 to SIM-EML-006):</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Trusting HR Manager (100.0% Susceptibility): </w:t>
      </w:r>
      <w:r>
        <w:rPr>
          <w:rFonts w:ascii="Times New Roman" w:hAnsi="Times New Roman" w:cs="Times New Roman"/>
          <w:b w:val="0"/>
          <w:i w:val="0"/>
          <w:sz w:val="23"/>
        </w:rPr>
        <w:t>Yielded to all malicious lures, failing to inspect return paths and succumbing to urgency framing. On the legitimate control scenario (SIM-EML-007), it exhibited slight over-sensitivity, flagging the meeting due to security terms in the agenda.</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Security-Conscious Senior Developer (0.0% Susceptibility): </w:t>
      </w:r>
      <w:r>
        <w:rPr>
          <w:rFonts w:ascii="Times New Roman" w:hAnsi="Times New Roman" w:cs="Times New Roman"/>
          <w:b w:val="0"/>
          <w:i w:val="0"/>
          <w:sz w:val="23"/>
        </w:rPr>
        <w:t>Correctly rejected 100.0% of malicious pretexts, systematically identifying typosquatted domains and unauthenticated senders.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Overwhelmed Finance Manager (94.4% Susceptibility): </w:t>
      </w:r>
      <w:r>
        <w:rPr>
          <w:rFonts w:ascii="Times New Roman" w:hAnsi="Times New Roman" w:cs="Times New Roman"/>
          <w:b w:val="0"/>
          <w:i w:val="0"/>
          <w:sz w:val="23"/>
        </w:rPr>
        <w:t>Succumbed to urgent wire transfers and credential warnings under simulated deadline pressure, while correctly identifying less urgent alerts.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Executive Vice President (55.6% Susceptibility): </w:t>
      </w:r>
      <w:r>
        <w:rPr>
          <w:rFonts w:ascii="Times New Roman" w:hAnsi="Times New Roman" w:cs="Times New Roman"/>
          <w:b w:val="0"/>
          <w:i w:val="0"/>
          <w:sz w:val="23"/>
        </w:rPr>
        <w:t>Successfully resisted generic spam but fell victim to targeted executive pretexting, M365 device revocations, and MFA bypass attempts.</w:t>
      </w:r>
    </w:p>
    <w:p>
      <w:pPr>
        <w:jc w:val="center"/>
        <w:spacing w:before="120" w:after="60"/>
      </w:pPr>
      <w:r>
        <w:drawing>
          <wp:inline xmlns:a="http://schemas.openxmlformats.org/drawingml/2006/main" xmlns:pic="http://schemas.openxmlformats.org/drawingml/2006/picture">
            <wp:extent cx="5577840" cy="5570806"/>
            <wp:docPr id="2040844864" name="Picture 2040844864"/>
            <wp:cNvGraphicFramePr>
              <a:graphicFrameLocks noChangeAspect="1"/>
            </wp:cNvGraphicFramePr>
            <a:graphic>
              <a:graphicData uri="http://schemas.openxmlformats.org/drawingml/2006/picture">
                <pic:pic>
                  <pic:nvPicPr>
                    <pic:cNvPr id="0" name="fig8_scenario_profile_heatmap.png"/>
                    <pic:cNvPicPr/>
                  </pic:nvPicPr>
                  <pic:blipFill>
                    <a:blip r:embed="rId39"/>
                    <a:stretch>
                      <a:fillRect/>
                    </a:stretch>
                  </pic:blipFill>
                  <pic:spPr>
                    <a:xfrm>
                      <a:off x="0" y="0"/>
                      <a:ext cx="5577840" cy="5570806"/>
                    </a:xfrm>
                    <a:prstGeom prst="rect"/>
                  </pic:spPr>
                </pic:pic>
              </a:graphicData>
            </a:graphic>
          </wp:inline>
        </w:drawing>
      </w:r>
    </w:p>
    <w:p>
      <w:pPr>
        <w:jc w:val="center"/>
        <w:spacing w:before="40" w:after="200"/>
      </w:pPr>
      <w:r>
        <w:rPr>
          <w:rFonts w:ascii="Times New Roman" w:hAnsi="Times New Roman" w:cs="Times New Roman"/>
          <w:b/>
          <w:i w:val="0"/>
          <w:color w:val="0F172A"/>
          <w:sz w:val="22"/>
        </w:rPr>
        <w:t>Fig. 13  Scenario by Behavioral Profile Vulnerability Heatmap</w:t>
      </w:r>
    </w:p>
    <w:p>
      <w:pPr>
        <w:jc w:val="both"/>
        <w:spacing w:before="0" w:after="140" w:line="300" w:lineRule="auto"/>
      </w:pPr>
      <w:r>
        <w:rPr>
          <w:rFonts w:ascii="Times New Roman" w:hAnsi="Times New Roman" w:cs="Times New Roman"/>
          <w:b w:val="0"/>
          <w:i w:val="0"/>
          <w:sz w:val="24"/>
        </w:rPr>
        <w:t>Fig. 13 presents the vulnerability heatmap across all 28 scenario-profile pairings. The visualization confirms that vulnerability is not uniform, but tightly coupled to the interaction between the specific psychological lure and the recipient's organizational role.</w:t>
      </w:r>
    </w:p>
    <w:p>
      <w:pPr>
        <w:jc w:val="center"/>
        <w:spacing w:before="120" w:after="60"/>
      </w:pPr>
      <w:r>
        <w:drawing>
          <wp:inline xmlns:a="http://schemas.openxmlformats.org/drawingml/2006/main" xmlns:pic="http://schemas.openxmlformats.org/drawingml/2006/picture">
            <wp:extent cx="5577840" cy="4885754"/>
            <wp:docPr id="2040844865" name="Picture 2040844865"/>
            <wp:cNvGraphicFramePr>
              <a:graphicFrameLocks noChangeAspect="1"/>
            </wp:cNvGraphicFramePr>
            <a:graphic>
              <a:graphicData uri="http://schemas.openxmlformats.org/drawingml/2006/picture">
                <pic:pic>
                  <pic:nvPicPr>
                    <pic:cNvPr id="0" name="fig_5_7_severity_distribution.png"/>
                    <pic:cNvPicPr/>
                  </pic:nvPicPr>
                  <pic:blipFill>
                    <a:blip r:embed="rId40"/>
                    <a:stretch>
                      <a:fillRect/>
                    </a:stretch>
                  </pic:blipFill>
                  <pic:spPr>
                    <a:xfrm>
                      <a:off x="0" y="0"/>
                      <a:ext cx="5577840" cy="4885754"/>
                    </a:xfrm>
                    <a:prstGeom prst="rect"/>
                  </pic:spPr>
                </pic:pic>
              </a:graphicData>
            </a:graphic>
          </wp:inline>
        </w:drawing>
      </w:r>
    </w:p>
    <w:p>
      <w:pPr>
        <w:jc w:val="center"/>
        <w:spacing w:before="40" w:after="200"/>
      </w:pPr>
      <w:r>
        <w:rPr>
          <w:rFonts w:ascii="Times New Roman" w:hAnsi="Times New Roman" w:cs="Times New Roman"/>
          <w:b/>
          <w:i w:val="0"/>
          <w:color w:val="0F172A"/>
          <w:sz w:val="22"/>
        </w:rPr>
        <w:t>Fig. 14  Threat Severity Distribution across Simulation Scenarios</w:t>
      </w:r>
    </w:p>
    <w:p>
      <w:pPr>
        <w:jc w:val="both"/>
        <w:spacing w:before="0" w:after="140" w:line="300" w:lineRule="auto"/>
      </w:pPr>
      <w:r>
        <w:rPr>
          <w:rFonts w:ascii="Times New Roman" w:hAnsi="Times New Roman" w:cs="Times New Roman"/>
          <w:b w:val="0"/>
          <w:i w:val="0"/>
          <w:sz w:val="24"/>
        </w:rPr>
        <w:t>Fig. 14 depicts the composite threat severity distribution. The RiskEngine produced clear bimodal separation: vulnerable outcomes mapped consistently to a discrete score of 84/100 (DANGEROUS), while safe outcomes mapped to 18/100 (SAFE), with zero overlapping ambiguity.</w:t>
      </w:r>
    </w:p>
    <w:p>
      <w:pPr>
        <w:jc w:val="center"/>
        <w:spacing w:before="120" w:after="60"/>
      </w:pPr>
      <w:r>
        <w:drawing>
          <wp:inline xmlns:a="http://schemas.openxmlformats.org/drawingml/2006/main" xmlns:pic="http://schemas.openxmlformats.org/drawingml/2006/picture">
            <wp:extent cx="5577840" cy="3982864"/>
            <wp:docPr id="2040844866" name="Picture 2040844866"/>
            <wp:cNvGraphicFramePr>
              <a:graphicFrameLocks noChangeAspect="1"/>
            </wp:cNvGraphicFramePr>
            <a:graphic>
              <a:graphicData uri="http://schemas.openxmlformats.org/drawingml/2006/picture">
                <pic:pic>
                  <pic:nvPicPr>
                    <pic:cNvPr id="0" name="fig_5_9_avg_duration_by_profile.png"/>
                    <pic:cNvPicPr/>
                  </pic:nvPicPr>
                  <pic:blipFill>
                    <a:blip r:embed="rId41"/>
                    <a:stretch>
                      <a:fillRect/>
                    </a:stretch>
                  </pic:blipFill>
                  <pic:spPr>
                    <a:xfrm>
                      <a:off x="0" y="0"/>
                      <a:ext cx="5577840" cy="3982864"/>
                    </a:xfrm>
                    <a:prstGeom prst="rect"/>
                  </pic:spPr>
                </pic:pic>
              </a:graphicData>
            </a:graphic>
          </wp:inline>
        </w:drawing>
      </w:r>
    </w:p>
    <w:p>
      <w:pPr>
        <w:jc w:val="center"/>
        <w:spacing w:before="40" w:after="200"/>
      </w:pPr>
      <w:r>
        <w:rPr>
          <w:rFonts w:ascii="Times New Roman" w:hAnsi="Times New Roman" w:cs="Times New Roman"/>
          <w:b/>
          <w:i w:val="0"/>
          <w:color w:val="0F172A"/>
          <w:sz w:val="22"/>
        </w:rPr>
        <w:t>Fig. 15  Mean Execution Duration (Seconds) per Behavioral Profile</w:t>
      </w:r>
    </w:p>
    <w:p>
      <w:pPr>
        <w:jc w:val="both"/>
        <w:spacing w:before="0" w:after="140" w:line="300" w:lineRule="auto"/>
      </w:pPr>
      <w:r>
        <w:rPr>
          <w:rFonts w:ascii="Times New Roman" w:hAnsi="Times New Roman" w:cs="Times New Roman"/>
          <w:b w:val="0"/>
          <w:i w:val="0"/>
          <w:sz w:val="24"/>
        </w:rPr>
        <w:t>Fig. 15 illustrates the mean end-to-end execution duration per profile. The Security-Conscious profile exhibited the fastest resolution (mean 11.10s) as it quickly identified domain red flags and aborted further parsing. The Executive VP profile required the longest mean duration (13.86s) due to more extensive contextual evaluation before deciding.</w:t>
      </w:r>
    </w:p>
    <w:p>
      <w:pPr>
        <w:pStyle w:val="Heading3"/>
        <w:jc w:val="left"/>
        <w:spacing w:before="180" w:after="80"/>
      </w:pPr>
      <w:r>
        <w:rPr>
          <w:rFonts w:ascii="Times New Roman" w:hAnsi="Times New Roman" w:cs="Times New Roman"/>
          <w:b/>
          <w:i w:val="0"/>
          <w:sz w:val="26"/>
        </w:rPr>
        <w:t>5.3.2 Data Consistency Statement</w:t>
      </w:r>
    </w:p>
    <w:p>
      <w:pPr>
        <w:jc w:val="both"/>
        <w:spacing w:before="0" w:after="140" w:line="300" w:lineRule="auto"/>
      </w:pPr>
      <w:r>
        <w:rPr>
          <w:rFonts w:ascii="Times New Roman" w:hAnsi="Times New Roman" w:cs="Times New Roman"/>
          <w:b w:val="0"/>
          <w:i w:val="0"/>
          <w:sz w:val="24"/>
        </w:rPr>
        <w:t>To ensure absolute scientific integrity and data transparency across documentation artifacts: the research dataset (paper/data/results_all.csv) contains exactly 84 simulation records representing the full experimental matrix (7 scenarios * 4 profiles * 3 repetitions); the live simulation CSV (results_live.csv) and the analytics dashboard screenshot (Fig. 11) capture the 28 unique scenario-profile combinations from the primary evaluation pass; and the local SQLite database (backend/semanticshield.db) contains 63 simulation records and 95 incidents accumulated across development and QA testing cycles.</w:t>
      </w:r>
    </w:p>
    <w:p>
      <w:pPr>
        <w:pStyle w:val="Heading3"/>
        <w:jc w:val="left"/>
        <w:spacing w:before="180" w:after="80"/>
      </w:pPr>
      <w:r>
        <w:rPr>
          <w:rFonts w:ascii="Times New Roman" w:hAnsi="Times New Roman" w:cs="Times New Roman"/>
          <w:b/>
          <w:i w:val="0"/>
          <w:sz w:val="26"/>
        </w:rPr>
        <w:t>5.3.3 Threat Intelligence Mock Fallback Note</w:t>
      </w:r>
    </w:p>
    <w:p>
      <w:pPr>
        <w:jc w:val="both"/>
        <w:spacing w:before="0" w:after="140" w:line="300" w:lineRule="auto"/>
      </w:pPr>
      <w:r>
        <w:rPr>
          <w:rFonts w:ascii="Times New Roman" w:hAnsi="Times New Roman" w:cs="Times New Roman"/>
          <w:b w:val="0"/>
          <w:i w:val="0"/>
          <w:sz w:val="24"/>
        </w:rPr>
        <w:t>During automated local evaluation and integration testing, the ThreatIntelligenceManager operates with its deterministic mock mode enabled (THREAT_INTEL_MOCK_MODE=True). This architectural design prevents third-party API rate-limiting and quota exhaustion while guaranteeing 100% reproducible response structures.</w:t>
      </w:r>
    </w:p>
    <w:p>
      <w:pPr>
        <w:pStyle w:val="Heading3"/>
        <w:jc w:val="left"/>
        <w:spacing w:before="180" w:after="80"/>
      </w:pPr>
      <w:r>
        <w:rPr>
          <w:rFonts w:ascii="Times New Roman" w:hAnsi="Times New Roman" w:cs="Times New Roman"/>
          <w:b/>
          <w:i w:val="0"/>
          <w:sz w:val="26"/>
        </w:rPr>
        <w:t>5.3.4 Known Limitations</w:t>
      </w:r>
    </w:p>
    <w:p>
      <w:pPr>
        <w:jc w:val="both"/>
        <w:spacing w:before="0" w:after="140" w:line="300" w:lineRule="auto"/>
      </w:pPr>
      <w:r>
        <w:rPr>
          <w:rFonts w:ascii="Times New Roman" w:hAnsi="Times New Roman" w:cs="Times New Roman"/>
          <w:b w:val="0"/>
          <w:i w:val="0"/>
          <w:sz w:val="24"/>
        </w:rPr>
        <w:t>The current implementation exhibits several honest operational boundaries: simulations are executed against synthetic scenarios rather than live corporate email inboxes; the SQLite database uses file-level locking rather than multi-threaded enterprise connection pooling; the free-tier Google Gemini API is subject to per-minute request quotas (mitigated by automated model cascading); and full production deployment remains in active preparation.</w:t>
      </w:r>
    </w:p>
    <w:p>
      <w:pPr>
        <w:pStyle w:val="Heading2"/>
        <w:jc w:val="left"/>
        <w:spacing w:before="240" w:after="120"/>
      </w:pPr>
      <w:r>
        <w:rPr>
          <w:rFonts w:ascii="Times New Roman" w:hAnsi="Times New Roman" w:cs="Times New Roman"/>
          <w:b/>
          <w:i w:val="0"/>
          <w:sz w:val="28"/>
        </w:rPr>
        <w:t>5.4 Challenges Faced and Solutions</w:t>
      </w:r>
    </w:p>
    <w:p>
      <w:pPr>
        <w:jc w:val="both"/>
        <w:spacing w:before="0" w:after="140" w:line="300" w:lineRule="auto"/>
      </w:pPr>
      <w:r>
        <w:rPr>
          <w:rFonts w:ascii="Times New Roman" w:hAnsi="Times New Roman" w:cs="Times New Roman"/>
          <w:b w:val="0"/>
          <w:i w:val="0"/>
          <w:sz w:val="24"/>
        </w:rPr>
        <w:t>During the engineering and verification of SemanticShield AI, eight key technical challenges were encountered and resolved as summarized in Table 5.4.</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2256"/>
        <w:gridCol w:w="2256"/>
        <w:gridCol w:w="2256"/>
        <w:gridCol w:w="2256"/>
      </w:tblGrid>
      <w:tr>
        <w:tc>
          <w:tcPr>
            <w:tcW w:type="dxa" w:w="432"/>
            <w:shd w:val="clear" w:color="auto" w:fill="D9E2F3"/>
          </w:tcPr>
          <w:p>
            <w:pPr>
              <w:jc w:val="left"/>
            </w:pPr>
            <w:r>
              <w:rPr>
                <w:rFonts w:ascii="Times New Roman" w:hAnsi="Times New Roman" w:cs="Times New Roman"/>
                <w:b/>
                <w:i w:val="0"/>
                <w:color w:val="0F172A"/>
                <w:sz w:val="20"/>
              </w:rPr>
              <w:t>#</w:t>
            </w:r>
          </w:p>
        </w:tc>
        <w:tc>
          <w:tcPr>
            <w:tcW w:type="dxa" w:w="2592"/>
            <w:shd w:val="clear" w:color="auto" w:fill="D9E2F3"/>
          </w:tcPr>
          <w:p>
            <w:pPr>
              <w:jc w:val="left"/>
            </w:pPr>
            <w:r>
              <w:rPr>
                <w:rFonts w:ascii="Times New Roman" w:hAnsi="Times New Roman" w:cs="Times New Roman"/>
                <w:b/>
                <w:i w:val="0"/>
                <w:color w:val="0F172A"/>
                <w:sz w:val="20"/>
              </w:rPr>
              <w:t>Engineering Challenge</w:t>
            </w:r>
          </w:p>
        </w:tc>
        <w:tc>
          <w:tcPr>
            <w:tcW w:type="dxa" w:w="2736"/>
            <w:shd w:val="clear" w:color="auto" w:fill="D9E2F3"/>
          </w:tcPr>
          <w:p>
            <w:pPr>
              <w:jc w:val="left"/>
            </w:pPr>
            <w:r>
              <w:rPr>
                <w:rFonts w:ascii="Times New Roman" w:hAnsi="Times New Roman" w:cs="Times New Roman"/>
                <w:b/>
                <w:i w:val="0"/>
                <w:color w:val="0F172A"/>
                <w:sz w:val="20"/>
              </w:rPr>
              <w:t>Encountered Problem</w:t>
            </w:r>
          </w:p>
        </w:tc>
        <w:tc>
          <w:tcPr>
            <w:tcW w:type="dxa" w:w="3168"/>
            <w:shd w:val="clear" w:color="auto" w:fill="D9E2F3"/>
          </w:tcPr>
          <w:p>
            <w:pPr>
              <w:jc w:val="left"/>
            </w:pPr>
            <w:r>
              <w:rPr>
                <w:rFonts w:ascii="Times New Roman" w:hAnsi="Times New Roman" w:cs="Times New Roman"/>
                <w:b/>
                <w:i w:val="0"/>
                <w:color w:val="0F172A"/>
                <w:sz w:val="20"/>
              </w:rPr>
              <w:t>Engineered Solution</w:t>
            </w:r>
          </w:p>
        </w:tc>
      </w:tr>
      <w:tr>
        <w:tc>
          <w:tcPr>
            <w:tcW w:type="dxa" w:w="432"/>
          </w:tcPr>
          <w:p>
            <w:pPr>
              <w:jc w:val="left"/>
            </w:pPr>
            <w:r>
              <w:rPr>
                <w:rFonts w:ascii="Times New Roman" w:hAnsi="Times New Roman" w:cs="Times New Roman"/>
                <w:b w:val="0"/>
                <w:i w:val="0"/>
                <w:color w:val="1E293B"/>
                <w:sz w:val="19"/>
              </w:rPr>
              <w:t>1</w:t>
            </w:r>
          </w:p>
        </w:tc>
        <w:tc>
          <w:tcPr>
            <w:tcW w:type="dxa" w:w="2592"/>
          </w:tcPr>
          <w:p>
            <w:pPr>
              <w:jc w:val="left"/>
            </w:pPr>
            <w:r>
              <w:rPr>
                <w:rFonts w:ascii="Times New Roman" w:hAnsi="Times New Roman" w:cs="Times New Roman"/>
                <w:b w:val="0"/>
                <w:i w:val="0"/>
                <w:color w:val="1E293B"/>
                <w:sz w:val="19"/>
              </w:rPr>
              <w:t>Gemini API Free-Tier Quotas</w:t>
            </w:r>
          </w:p>
        </w:tc>
        <w:tc>
          <w:tcPr>
            <w:tcW w:type="dxa" w:w="2736"/>
          </w:tcPr>
          <w:p>
            <w:pPr>
              <w:jc w:val="left"/>
            </w:pPr>
            <w:r>
              <w:rPr>
                <w:rFonts w:ascii="Times New Roman" w:hAnsi="Times New Roman" w:cs="Times New Roman"/>
                <w:b w:val="0"/>
                <w:i w:val="0"/>
                <w:color w:val="1E293B"/>
                <w:sz w:val="19"/>
              </w:rPr>
              <w:t>Rate-limit errors (HTTP 429) during burst simulation runs</w:t>
            </w:r>
          </w:p>
        </w:tc>
        <w:tc>
          <w:tcPr>
            <w:tcW w:type="dxa" w:w="3168"/>
          </w:tcPr>
          <w:p>
            <w:pPr>
              <w:jc w:val="left"/>
            </w:pPr>
            <w:r>
              <w:rPr>
                <w:rFonts w:ascii="Times New Roman" w:hAnsi="Times New Roman" w:cs="Times New Roman"/>
                <w:b w:val="0"/>
                <w:i w:val="0"/>
                <w:color w:val="1E293B"/>
                <w:sz w:val="19"/>
              </w:rPr>
              <w:t>Implemented cascading model fallback (flash -&gt; lite -&gt; 3.8 -&gt; flash-latest) and exponential backoff retry</w:t>
            </w:r>
          </w:p>
        </w:tc>
      </w:tr>
      <w:tr>
        <w:tc>
          <w:tcPr>
            <w:tcW w:type="dxa" w:w="432"/>
          </w:tcPr>
          <w:p>
            <w:pPr>
              <w:jc w:val="left"/>
            </w:pPr>
            <w:r>
              <w:rPr>
                <w:rFonts w:ascii="Times New Roman" w:hAnsi="Times New Roman" w:cs="Times New Roman"/>
                <w:b w:val="0"/>
                <w:i w:val="0"/>
                <w:color w:val="1E293B"/>
                <w:sz w:val="19"/>
              </w:rPr>
              <w:t>2</w:t>
            </w:r>
          </w:p>
        </w:tc>
        <w:tc>
          <w:tcPr>
            <w:tcW w:type="dxa" w:w="2592"/>
          </w:tcPr>
          <w:p>
            <w:pPr>
              <w:jc w:val="left"/>
            </w:pPr>
            <w:r>
              <w:rPr>
                <w:rFonts w:ascii="Times New Roman" w:hAnsi="Times New Roman" w:cs="Times New Roman"/>
                <w:b w:val="0"/>
                <w:i w:val="0"/>
                <w:color w:val="1E293B"/>
                <w:sz w:val="19"/>
              </w:rPr>
              <w:t>LLM Output Non-Determinism</w:t>
            </w:r>
          </w:p>
        </w:tc>
        <w:tc>
          <w:tcPr>
            <w:tcW w:type="dxa" w:w="2736"/>
          </w:tcPr>
          <w:p>
            <w:pPr>
              <w:jc w:val="left"/>
            </w:pPr>
            <w:r>
              <w:rPr>
                <w:rFonts w:ascii="Times New Roman" w:hAnsi="Times New Roman" w:cs="Times New Roman"/>
                <w:b w:val="0"/>
                <w:i w:val="0"/>
                <w:color w:val="1E293B"/>
                <w:sz w:val="19"/>
              </w:rPr>
              <w:t>Language models occasionally omit structured decision tags</w:t>
            </w:r>
          </w:p>
        </w:tc>
        <w:tc>
          <w:tcPr>
            <w:tcW w:type="dxa" w:w="3168"/>
          </w:tcPr>
          <w:p>
            <w:pPr>
              <w:jc w:val="left"/>
            </w:pPr>
            <w:r>
              <w:rPr>
                <w:rFonts w:ascii="Times New Roman" w:hAnsi="Times New Roman" w:cs="Times New Roman"/>
                <w:b w:val="0"/>
                <w:i w:val="0"/>
                <w:color w:val="1E293B"/>
                <w:sz w:val="19"/>
              </w:rPr>
              <w:t>Engineered regex parser matching r'\[(VULNERABLE|SAFE)\]' with fallback keyword scanning</w:t>
            </w:r>
          </w:p>
        </w:tc>
      </w:tr>
      <w:tr>
        <w:tc>
          <w:tcPr>
            <w:tcW w:type="dxa" w:w="432"/>
          </w:tcPr>
          <w:p>
            <w:pPr>
              <w:jc w:val="left"/>
            </w:pPr>
            <w:r>
              <w:rPr>
                <w:rFonts w:ascii="Times New Roman" w:hAnsi="Times New Roman" w:cs="Times New Roman"/>
                <w:b w:val="0"/>
                <w:i w:val="0"/>
                <w:color w:val="1E293B"/>
                <w:sz w:val="19"/>
              </w:rPr>
              <w:t>3</w:t>
            </w:r>
          </w:p>
        </w:tc>
        <w:tc>
          <w:tcPr>
            <w:tcW w:type="dxa" w:w="2592"/>
          </w:tcPr>
          <w:p>
            <w:pPr>
              <w:jc w:val="left"/>
            </w:pPr>
            <w:r>
              <w:rPr>
                <w:rFonts w:ascii="Times New Roman" w:hAnsi="Times New Roman" w:cs="Times New Roman"/>
                <w:b w:val="0"/>
                <w:i w:val="0"/>
                <w:color w:val="1E293B"/>
                <w:sz w:val="19"/>
              </w:rPr>
              <w:t>Low-Latency Stream Delivery</w:t>
            </w:r>
          </w:p>
        </w:tc>
        <w:tc>
          <w:tcPr>
            <w:tcW w:type="dxa" w:w="2736"/>
          </w:tcPr>
          <w:p>
            <w:pPr>
              <w:jc w:val="left"/>
            </w:pPr>
            <w:r>
              <w:rPr>
                <w:rFonts w:ascii="Times New Roman" w:hAnsi="Times New Roman" w:cs="Times New Roman"/>
                <w:b w:val="0"/>
                <w:i w:val="0"/>
                <w:color w:val="1E293B"/>
                <w:sz w:val="19"/>
              </w:rPr>
              <w:t>Standard HTTP POST buffers response until completion</w:t>
            </w:r>
          </w:p>
        </w:tc>
        <w:tc>
          <w:tcPr>
            <w:tcW w:type="dxa" w:w="3168"/>
          </w:tcPr>
          <w:p>
            <w:pPr>
              <w:jc w:val="left"/>
            </w:pPr>
            <w:r>
              <w:rPr>
                <w:rFonts w:ascii="Times New Roman" w:hAnsi="Times New Roman" w:cs="Times New Roman"/>
                <w:b w:val="0"/>
                <w:i w:val="0"/>
                <w:color w:val="1E293B"/>
                <w:sz w:val="19"/>
              </w:rPr>
              <w:t>Implemented FastAPI StreamingResponse with async generator chunk delivery over SSE/WebSockets</w:t>
            </w:r>
          </w:p>
        </w:tc>
      </w:tr>
      <w:tr>
        <w:tc>
          <w:tcPr>
            <w:tcW w:type="dxa" w:w="432"/>
          </w:tcPr>
          <w:p>
            <w:pPr>
              <w:jc w:val="left"/>
            </w:pPr>
            <w:r>
              <w:rPr>
                <w:rFonts w:ascii="Times New Roman" w:hAnsi="Times New Roman" w:cs="Times New Roman"/>
                <w:b w:val="0"/>
                <w:i w:val="0"/>
                <w:color w:val="1E293B"/>
                <w:sz w:val="19"/>
              </w:rPr>
              <w:t>4</w:t>
            </w:r>
          </w:p>
        </w:tc>
        <w:tc>
          <w:tcPr>
            <w:tcW w:type="dxa" w:w="2592"/>
          </w:tcPr>
          <w:p>
            <w:pPr>
              <w:jc w:val="left"/>
            </w:pPr>
            <w:r>
              <w:rPr>
                <w:rFonts w:ascii="Times New Roman" w:hAnsi="Times New Roman" w:cs="Times New Roman"/>
                <w:b w:val="0"/>
                <w:i w:val="0"/>
                <w:color w:val="1E293B"/>
                <w:sz w:val="19"/>
              </w:rPr>
              <w:t>AI Hallucination in Risk Scores</w:t>
            </w:r>
          </w:p>
        </w:tc>
        <w:tc>
          <w:tcPr>
            <w:tcW w:type="dxa" w:w="2736"/>
          </w:tcPr>
          <w:p>
            <w:pPr>
              <w:jc w:val="left"/>
            </w:pPr>
            <w:r>
              <w:rPr>
                <w:rFonts w:ascii="Times New Roman" w:hAnsi="Times New Roman" w:cs="Times New Roman"/>
                <w:b w:val="0"/>
                <w:i w:val="0"/>
                <w:color w:val="1E293B"/>
                <w:sz w:val="19"/>
              </w:rPr>
              <w:t>Generative models produce varying, ungrounded threat numbers</w:t>
            </w:r>
          </w:p>
        </w:tc>
        <w:tc>
          <w:tcPr>
            <w:tcW w:type="dxa" w:w="3168"/>
          </w:tcPr>
          <w:p>
            <w:pPr>
              <w:jc w:val="left"/>
            </w:pPr>
            <w:r>
              <w:rPr>
                <w:rFonts w:ascii="Times New Roman" w:hAnsi="Times New Roman" w:cs="Times New Roman"/>
                <w:b w:val="0"/>
                <w:i w:val="0"/>
                <w:color w:val="1E293B"/>
                <w:sz w:val="19"/>
              </w:rPr>
              <w:t>Strict separation: AI simulates human reasoning; Python RiskEngine calculates scores deterministically</w:t>
            </w:r>
          </w:p>
        </w:tc>
      </w:tr>
      <w:tr>
        <w:tc>
          <w:tcPr>
            <w:tcW w:type="dxa" w:w="432"/>
          </w:tcPr>
          <w:p>
            <w:pPr>
              <w:jc w:val="left"/>
            </w:pPr>
            <w:r>
              <w:rPr>
                <w:rFonts w:ascii="Times New Roman" w:hAnsi="Times New Roman" w:cs="Times New Roman"/>
                <w:b w:val="0"/>
                <w:i w:val="0"/>
                <w:color w:val="1E293B"/>
                <w:sz w:val="19"/>
              </w:rPr>
              <w:t>5</w:t>
            </w:r>
          </w:p>
        </w:tc>
        <w:tc>
          <w:tcPr>
            <w:tcW w:type="dxa" w:w="2592"/>
          </w:tcPr>
          <w:p>
            <w:pPr>
              <w:jc w:val="left"/>
            </w:pPr>
            <w:r>
              <w:rPr>
                <w:rFonts w:ascii="Times New Roman" w:hAnsi="Times New Roman" w:cs="Times New Roman"/>
                <w:b w:val="0"/>
                <w:i w:val="0"/>
                <w:color w:val="1E293B"/>
                <w:sz w:val="19"/>
              </w:rPr>
              <w:t>Real-Time Multi-Tab Sync</w:t>
            </w:r>
          </w:p>
        </w:tc>
        <w:tc>
          <w:tcPr>
            <w:tcW w:type="dxa" w:w="2736"/>
          </w:tcPr>
          <w:p>
            <w:pPr>
              <w:jc w:val="left"/>
            </w:pPr>
            <w:r>
              <w:rPr>
                <w:rFonts w:ascii="Times New Roman" w:hAnsi="Times New Roman" w:cs="Times New Roman"/>
                <w:b w:val="0"/>
                <w:i w:val="0"/>
                <w:color w:val="1E293B"/>
                <w:sz w:val="19"/>
              </w:rPr>
              <w:t>Dashboard required page reload to show new simulation events</w:t>
            </w:r>
          </w:p>
        </w:tc>
        <w:tc>
          <w:tcPr>
            <w:tcW w:type="dxa" w:w="3168"/>
          </w:tcPr>
          <w:p>
            <w:pPr>
              <w:jc w:val="left"/>
            </w:pPr>
            <w:r>
              <w:rPr>
                <w:rFonts w:ascii="Times New Roman" w:hAnsi="Times New Roman" w:cs="Times New Roman"/>
                <w:b w:val="0"/>
                <w:i w:val="0"/>
                <w:color w:val="1E293B"/>
                <w:sz w:val="19"/>
              </w:rPr>
              <w:t>Engineered 5-channel WebSocket connection manager pushing live updates to all clients</w:t>
            </w:r>
          </w:p>
        </w:tc>
      </w:tr>
      <w:tr>
        <w:tc>
          <w:tcPr>
            <w:tcW w:type="dxa" w:w="432"/>
          </w:tcPr>
          <w:p>
            <w:pPr>
              <w:jc w:val="left"/>
            </w:pPr>
            <w:r>
              <w:rPr>
                <w:rFonts w:ascii="Times New Roman" w:hAnsi="Times New Roman" w:cs="Times New Roman"/>
                <w:b w:val="0"/>
                <w:i w:val="0"/>
                <w:color w:val="1E293B"/>
                <w:sz w:val="19"/>
              </w:rPr>
              <w:t>6</w:t>
            </w:r>
          </w:p>
        </w:tc>
        <w:tc>
          <w:tcPr>
            <w:tcW w:type="dxa" w:w="2592"/>
          </w:tcPr>
          <w:p>
            <w:pPr>
              <w:jc w:val="left"/>
            </w:pPr>
            <w:r>
              <w:rPr>
                <w:rFonts w:ascii="Times New Roman" w:hAnsi="Times New Roman" w:cs="Times New Roman"/>
                <w:b w:val="0"/>
                <w:i w:val="0"/>
                <w:color w:val="1E293B"/>
                <w:sz w:val="19"/>
              </w:rPr>
              <w:t>External API Downtime &amp; Timeouts</w:t>
            </w:r>
          </w:p>
        </w:tc>
        <w:tc>
          <w:tcPr>
            <w:tcW w:type="dxa" w:w="2736"/>
          </w:tcPr>
          <w:p>
            <w:pPr>
              <w:jc w:val="left"/>
            </w:pPr>
            <w:r>
              <w:rPr>
                <w:rFonts w:ascii="Times New Roman" w:hAnsi="Times New Roman" w:cs="Times New Roman"/>
                <w:b w:val="0"/>
                <w:i w:val="0"/>
                <w:color w:val="1E293B"/>
                <w:sz w:val="19"/>
              </w:rPr>
              <w:t>Third-party threat lookups slow down the analysis pipeline</w:t>
            </w:r>
          </w:p>
        </w:tc>
        <w:tc>
          <w:tcPr>
            <w:tcW w:type="dxa" w:w="3168"/>
          </w:tcPr>
          <w:p>
            <w:pPr>
              <w:jc w:val="left"/>
            </w:pPr>
            <w:r>
              <w:rPr>
                <w:rFonts w:ascii="Times New Roman" w:hAnsi="Times New Roman" w:cs="Times New Roman"/>
                <w:b w:val="0"/>
                <w:i w:val="0"/>
                <w:color w:val="1E293B"/>
                <w:sz w:val="19"/>
              </w:rPr>
              <w:t>Implemented in-memory TTL caching layer and deterministic mock provider fallback</w:t>
            </w:r>
          </w:p>
        </w:tc>
      </w:tr>
      <w:tr>
        <w:tc>
          <w:tcPr>
            <w:tcW w:type="dxa" w:w="432"/>
          </w:tcPr>
          <w:p>
            <w:pPr>
              <w:jc w:val="left"/>
            </w:pPr>
            <w:r>
              <w:rPr>
                <w:rFonts w:ascii="Times New Roman" w:hAnsi="Times New Roman" w:cs="Times New Roman"/>
                <w:b w:val="0"/>
                <w:i w:val="0"/>
                <w:color w:val="1E293B"/>
                <w:sz w:val="19"/>
              </w:rPr>
              <w:t>7</w:t>
            </w:r>
          </w:p>
        </w:tc>
        <w:tc>
          <w:tcPr>
            <w:tcW w:type="dxa" w:w="2592"/>
          </w:tcPr>
          <w:p>
            <w:pPr>
              <w:jc w:val="left"/>
            </w:pPr>
            <w:r>
              <w:rPr>
                <w:rFonts w:ascii="Times New Roman" w:hAnsi="Times New Roman" w:cs="Times New Roman"/>
                <w:b w:val="0"/>
                <w:i w:val="0"/>
                <w:color w:val="1E293B"/>
                <w:sz w:val="19"/>
              </w:rPr>
              <w:t>Heterogeneous Input Formats</w:t>
            </w:r>
          </w:p>
        </w:tc>
        <w:tc>
          <w:tcPr>
            <w:tcW w:type="dxa" w:w="2736"/>
          </w:tcPr>
          <w:p>
            <w:pPr>
              <w:jc w:val="left"/>
            </w:pPr>
            <w:r>
              <w:rPr>
                <w:rFonts w:ascii="Times New Roman" w:hAnsi="Times New Roman" w:cs="Times New Roman"/>
                <w:b w:val="0"/>
                <w:i w:val="0"/>
                <w:color w:val="1E293B"/>
                <w:sz w:val="19"/>
              </w:rPr>
              <w:t>System receives both raw URLs and full RFC 5322 MIME emails</w:t>
            </w:r>
          </w:p>
        </w:tc>
        <w:tc>
          <w:tcPr>
            <w:tcW w:type="dxa" w:w="3168"/>
          </w:tcPr>
          <w:p>
            <w:pPr>
              <w:jc w:val="left"/>
            </w:pPr>
            <w:r>
              <w:rPr>
                <w:rFonts w:ascii="Times New Roman" w:hAnsi="Times New Roman" w:cs="Times New Roman"/>
                <w:b w:val="0"/>
                <w:i w:val="0"/>
                <w:color w:val="1E293B"/>
                <w:sz w:val="19"/>
              </w:rPr>
              <w:t>Built unified URLEvidence and EmailEvidence schemas normalizing headers and IoCs</w:t>
            </w:r>
          </w:p>
        </w:tc>
      </w:tr>
      <w:tr>
        <w:tc>
          <w:tcPr>
            <w:tcW w:type="dxa" w:w="432"/>
          </w:tcPr>
          <w:p>
            <w:pPr>
              <w:jc w:val="left"/>
            </w:pPr>
            <w:r>
              <w:rPr>
                <w:rFonts w:ascii="Times New Roman" w:hAnsi="Times New Roman" w:cs="Times New Roman"/>
                <w:b w:val="0"/>
                <w:i w:val="0"/>
                <w:color w:val="1E293B"/>
                <w:sz w:val="19"/>
              </w:rPr>
              <w:t>8</w:t>
            </w:r>
          </w:p>
        </w:tc>
        <w:tc>
          <w:tcPr>
            <w:tcW w:type="dxa" w:w="2592"/>
          </w:tcPr>
          <w:p>
            <w:pPr>
              <w:jc w:val="left"/>
            </w:pPr>
            <w:r>
              <w:rPr>
                <w:rFonts w:ascii="Times New Roman" w:hAnsi="Times New Roman" w:cs="Times New Roman"/>
                <w:b w:val="0"/>
                <w:i w:val="0"/>
                <w:color w:val="1E293B"/>
                <w:sz w:val="19"/>
              </w:rPr>
              <w:t>Database Concurrency in SQLite</w:t>
            </w:r>
          </w:p>
        </w:tc>
        <w:tc>
          <w:tcPr>
            <w:tcW w:type="dxa" w:w="2736"/>
          </w:tcPr>
          <w:p>
            <w:pPr>
              <w:jc w:val="left"/>
            </w:pPr>
            <w:r>
              <w:rPr>
                <w:rFonts w:ascii="Times New Roman" w:hAnsi="Times New Roman" w:cs="Times New Roman"/>
                <w:b w:val="0"/>
                <w:i w:val="0"/>
                <w:color w:val="1E293B"/>
                <w:sz w:val="19"/>
              </w:rPr>
              <w:t>Concurrent bursts caused database locked errors in SQLite</w:t>
            </w:r>
          </w:p>
        </w:tc>
        <w:tc>
          <w:tcPr>
            <w:tcW w:type="dxa" w:w="3168"/>
          </w:tcPr>
          <w:p>
            <w:pPr>
              <w:jc w:val="left"/>
            </w:pPr>
            <w:r>
              <w:rPr>
                <w:rFonts w:ascii="Times New Roman" w:hAnsi="Times New Roman" w:cs="Times New Roman"/>
                <w:b w:val="0"/>
                <w:i w:val="0"/>
                <w:color w:val="1E293B"/>
                <w:sz w:val="19"/>
              </w:rPr>
              <w:t>Configured SQLAlchemy thread pool settings and dedicated session lifecycles</w:t>
            </w:r>
          </w:p>
        </w:tc>
      </w:tr>
    </w:tbl>
    <w:p>
      <w:pPr>
        <w:spacing w:after="140"/>
      </w:pPr>
    </w:p>
    <w:p>
      <w:pPr>
        <w:pStyle w:val="Heading1"/>
        <w:jc w:val="center"/>
        <w:pageBreakBefore/>
        <w:spacing w:before="0" w:after="60"/>
      </w:pPr>
      <w:r>
        <w:rPr>
          <w:rFonts w:ascii="Times New Roman" w:hAnsi="Times New Roman" w:cs="Times New Roman"/>
          <w:b/>
          <w:i w:val="0"/>
          <w:sz w:val="30"/>
        </w:rPr>
        <w:t>CHAPTER - 6</w:t>
      </w:r>
    </w:p>
    <w:p>
      <w:pPr>
        <w:jc w:val="center"/>
        <w:spacing w:before="0" w:after="240"/>
      </w:pPr>
      <w:r>
        <w:rPr>
          <w:rFonts w:ascii="Times New Roman" w:hAnsi="Times New Roman" w:cs="Times New Roman"/>
          <w:b/>
          <w:i w:val="0"/>
          <w:sz w:val="30"/>
        </w:rPr>
        <w:t>CONCLUSION &amp; FUTURE SCOPE</w:t>
      </w:r>
    </w:p>
    <w:p>
      <w:pPr>
        <w:pStyle w:val="Heading2"/>
        <w:jc w:val="left"/>
        <w:spacing w:before="240" w:after="120"/>
      </w:pPr>
      <w:r>
        <w:rPr>
          <w:rFonts w:ascii="Times New Roman" w:hAnsi="Times New Roman" w:cs="Times New Roman"/>
          <w:b/>
          <w:i w:val="0"/>
          <w:sz w:val="28"/>
        </w:rPr>
        <w:t>6.1 Conclusion</w:t>
      </w:r>
    </w:p>
    <w:p>
      <w:pPr>
        <w:jc w:val="both"/>
        <w:spacing w:before="0" w:after="140" w:line="300" w:lineRule="auto"/>
      </w:pPr>
      <w:r>
        <w:rPr>
          <w:rFonts w:ascii="Times New Roman" w:hAnsi="Times New Roman" w:cs="Times New Roman"/>
          <w:b w:val="0"/>
          <w:i w:val="0"/>
          <w:sz w:val="24"/>
        </w:rPr>
        <w:t>Social engineering and email-borne phishing continue to represent the foremost initial access attack vector confronting modern enterprise security operations. While conventional defensive paradigms deploy static awareness campaigns and signature-based email gateways in isolation, attackers exploit nuanced human cognitive biases—such as authority compliance, artificial urgency, and organizational trust—that traditional tools fail to diagnose or address.</w:t>
      </w:r>
    </w:p>
    <w:p>
      <w:pPr>
        <w:jc w:val="both"/>
        <w:spacing w:before="0" w:after="140" w:line="300" w:lineRule="auto"/>
      </w:pPr>
      <w:r>
        <w:rPr>
          <w:rFonts w:ascii="Times New Roman" w:hAnsi="Times New Roman" w:cs="Times New Roman"/>
          <w:b w:val="0"/>
          <w:i w:val="0"/>
          <w:sz w:val="24"/>
        </w:rPr>
        <w:t>To overcome this structural divide, SemanticShield AI was designed, implemented, and evaluated as an integrated cyber defense platform uniting offensive behavioral phishing simulation with defensive threat intelligence and SOC incident triage. The platform's technical significance lies in its strict architectural separation of concerns: generative artificial intelligence is leveraged exclusively to simulate employee psychological decision-making and generate human-readable technical explanations, while enterprise risk scoring is governed entirely by transparent, deterministic Python code rules inside the RiskEngine. This foundational constraint guarantees that enterprise threat metrics remain explainable, reproducible, and immune to generative hallucination.</w:t>
      </w:r>
    </w:p>
    <w:p>
      <w:pPr>
        <w:jc w:val="both"/>
        <w:spacing w:before="0" w:after="140" w:line="300" w:lineRule="auto"/>
      </w:pPr>
      <w:r>
        <w:rPr>
          <w:rFonts w:ascii="Times New Roman" w:hAnsi="Times New Roman" w:cs="Times New Roman"/>
          <w:b w:val="0"/>
          <w:i w:val="0"/>
          <w:sz w:val="24"/>
        </w:rPr>
        <w:t>The completed system implements an end-to-end operational lifecycle: Ingest Scenario -&gt; Select Behavioral Profile -&gt; Stream LLM Reasoning -&gt; Extract Decision -&gt; Score Risk -&gt; Correlate Incident -&gt; Broadcast Telemetry -&gt; Persist and Export Documentation. Experimental evaluation across 84 live simulation runs confirmed distinct, reproducible behavioral vulnerability rates across organizational profiles, ranging from 100.0% susceptibility in Trusting HR personnel to 0.0% in Security-Conscious Developers. The backend demonstrated 100% test pass rates across all 24 API routes, and the frontend Vite production build succeeded across 2,236 modules.</w:t>
      </w:r>
    </w:p>
    <w:p>
      <w:pPr>
        <w:jc w:val="both"/>
        <w:spacing w:before="0" w:after="140" w:line="300" w:lineRule="auto"/>
      </w:pPr>
      <w:r>
        <w:rPr>
          <w:rFonts w:ascii="Times New Roman" w:hAnsi="Times New Roman" w:cs="Times New Roman"/>
          <w:b w:val="0"/>
          <w:i w:val="0"/>
          <w:sz w:val="24"/>
        </w:rPr>
        <w:t>SemanticShield AI provides an accessible, open-source, and inspectable foundation for academic demonstration, controlled security research laboratories, and enterprise training. It is positioned as an educational and operational prototype rather than a direct replacement for commercial multi-server SIEM or XDR platforms.</w:t>
      </w:r>
    </w:p>
    <w:p>
      <w:pPr>
        <w:pStyle w:val="Heading2"/>
        <w:jc w:val="left"/>
        <w:spacing w:before="240" w:after="120"/>
      </w:pPr>
      <w:r>
        <w:rPr>
          <w:rFonts w:ascii="Times New Roman" w:hAnsi="Times New Roman" w:cs="Times New Roman"/>
          <w:b/>
          <w:i w:val="0"/>
          <w:sz w:val="28"/>
        </w:rPr>
        <w:t>6.2 Future Scope</w:t>
      </w:r>
    </w:p>
    <w:p>
      <w:pPr>
        <w:jc w:val="both"/>
        <w:spacing w:before="0" w:after="140" w:line="300" w:lineRule="auto"/>
      </w:pPr>
      <w:r>
        <w:rPr>
          <w:rFonts w:ascii="Times New Roman" w:hAnsi="Times New Roman" w:cs="Times New Roman"/>
          <w:b w:val="0"/>
          <w:i w:val="0"/>
          <w:sz w:val="24"/>
        </w:rPr>
        <w:t>While the current prototype achieves all stated project objectives, several high-value enhancements are identified for future development phases: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Production Mail Flow Integration: </w:t>
      </w:r>
      <w:r>
        <w:rPr>
          <w:rFonts w:ascii="Times New Roman" w:hAnsi="Times New Roman" w:cs="Times New Roman"/>
          <w:b w:val="0"/>
          <w:i w:val="0"/>
          <w:sz w:val="23"/>
        </w:rPr>
        <w:t>Develop native API webhooks and Microsoft Graph / Google Workspace integrations to intercept and inspect real corporate email streams in pre-delivery staging.</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Enterprise PostgreSQL Migration: </w:t>
      </w:r>
      <w:r>
        <w:rPr>
          <w:rFonts w:ascii="Times New Roman" w:hAnsi="Times New Roman" w:cs="Times New Roman"/>
          <w:b w:val="0"/>
          <w:i w:val="0"/>
          <w:sz w:val="23"/>
        </w:rPr>
        <w:t>Transition the data persistence layer from local SQLite storage to an enterprise-grade managed PostgreSQL database cluster with connection pooling and automated backups.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Multi-Tenant Role-Based Access Control (RBAC): </w:t>
      </w:r>
      <w:r>
        <w:rPr>
          <w:rFonts w:ascii="Times New Roman" w:hAnsi="Times New Roman" w:cs="Times New Roman"/>
          <w:b w:val="0"/>
          <w:i w:val="0"/>
          <w:sz w:val="23"/>
        </w:rPr>
        <w:t>Implement fine-grained user authentication featuring Argon2id password hashing, JWT session cookies, and hardware-backed WebAuthn multi-factor authentication for administrative and analyst roles.</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On-Premise Local LLM Inference: </w:t>
      </w:r>
      <w:r>
        <w:rPr>
          <w:rFonts w:ascii="Times New Roman" w:hAnsi="Times New Roman" w:cs="Times New Roman"/>
          <w:b w:val="0"/>
          <w:i w:val="0"/>
          <w:sz w:val="23"/>
        </w:rPr>
        <w:t>Incorporate support for quantized open-source language models (e.g., Llama 3.3 70B, Mistral Nemo) hosted on local GPU inference engines (vLLM / Ollama) to eliminate cloud API dependencies and ensure total data privacy.</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Direct Server-Side PDF Report Compilation: </w:t>
      </w:r>
      <w:r>
        <w:rPr>
          <w:rFonts w:ascii="Times New Roman" w:hAnsi="Times New Roman" w:cs="Times New Roman"/>
          <w:b w:val="0"/>
          <w:i w:val="0"/>
          <w:sz w:val="23"/>
        </w:rPr>
        <w:t>Integrate a headless rendering pipeline (e.g., WeasyPrint or Playwright) to automatically compile multi-page executive PDF reports directly from the backend API.</w:t>
      </w:r>
    </w:p>
    <w:p>
      <w:pPr>
        <w:pStyle w:val="ListParagraph"/>
        <w:jc w:val="left"/>
        <w:spacing w:before="0" w:after="100" w:line="280" w:lineRule="auto"/>
      </w:pPr>
      <w:r>
        <w:rPr>
          <w:rFonts w:ascii="Times New Roman" w:hAnsi="Times New Roman" w:cs="Times New Roman"/>
          <w:b/>
          <w:i w:val="0"/>
          <w:sz w:val="22"/>
        </w:rPr>
        <w:t xml:space="preserve">•  </w:t>
      </w:r>
      <w:r>
        <w:rPr>
          <w:rFonts w:ascii="Times New Roman" w:hAnsi="Times New Roman" w:cs="Times New Roman"/>
          <w:b/>
          <w:i w:val="0"/>
          <w:sz w:val="23"/>
        </w:rPr>
        <w:t xml:space="preserve">Machine Learning Anomaly Detection: </w:t>
      </w:r>
      <w:r>
        <w:rPr>
          <w:rFonts w:ascii="Times New Roman" w:hAnsi="Times New Roman" w:cs="Times New Roman"/>
          <w:b w:val="0"/>
          <w:i w:val="0"/>
          <w:sz w:val="23"/>
        </w:rPr>
        <w:t>Supplement deterministic rule heuristics with unsupervised clustering algorithms to identify emerging linguistic evasion tactics and zero-day threat pretexts.</w:t>
      </w:r>
    </w:p>
    <w:p>
      <w:pPr>
        <w:pStyle w:val="Heading3"/>
        <w:jc w:val="left"/>
        <w:spacing w:before="180" w:after="80"/>
      </w:pPr>
      <w:r>
        <w:rPr>
          <w:rFonts w:ascii="Times New Roman" w:hAnsi="Times New Roman" w:cs="Times New Roman"/>
          <w:b/>
          <w:i w:val="0"/>
          <w:sz w:val="26"/>
        </w:rPr>
        <w:t>Roadmap</w:t>
      </w:r>
    </w:p>
    <w:p>
      <w:pPr>
        <w:jc w:val="both"/>
        <w:spacing w:before="0" w:after="140" w:line="300" w:lineRule="auto"/>
      </w:pPr>
      <w:r>
        <w:rPr>
          <w:rFonts w:ascii="Times New Roman" w:hAnsi="Times New Roman" w:cs="Times New Roman"/>
          <w:b w:val="0"/>
          <w:i w:val="0"/>
          <w:sz w:val="24"/>
        </w:rPr>
        <w:t>Table 6.1 outlines the phased implementation roadmap designed to transition SemanticShield AI from a laboratory prototype to an enterprise-ready security operations system.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tblPr>
      <w:tblGrid>
        <w:gridCol w:w="4513"/>
        <w:gridCol w:w="4513"/>
      </w:tblGrid>
      <w:tr>
        <w:tc>
          <w:tcPr>
            <w:tcW w:type="dxa" w:w="2880"/>
            <w:shd w:val="clear" w:color="auto" w:fill="D9E2F3"/>
          </w:tcPr>
          <w:p>
            <w:pPr>
              <w:jc w:val="left"/>
            </w:pPr>
            <w:r>
              <w:rPr>
                <w:rFonts w:ascii="Times New Roman" w:hAnsi="Times New Roman" w:cs="Times New Roman"/>
                <w:b/>
                <w:i w:val="0"/>
                <w:color w:val="0F172A"/>
                <w:sz w:val="20"/>
              </w:rPr>
              <w:t>Phase</w:t>
            </w:r>
          </w:p>
        </w:tc>
        <w:tc>
          <w:tcPr>
            <w:tcW w:type="dxa" w:w="6048"/>
            <w:shd w:val="clear" w:color="auto" w:fill="D9E2F3"/>
          </w:tcPr>
          <w:p>
            <w:pPr>
              <w:jc w:val="left"/>
            </w:pPr>
            <w:r>
              <w:rPr>
                <w:rFonts w:ascii="Times New Roman" w:hAnsi="Times New Roman" w:cs="Times New Roman"/>
                <w:b/>
                <w:i w:val="0"/>
                <w:color w:val="0F172A"/>
                <w:sz w:val="20"/>
              </w:rPr>
              <w:t>Implementation Milestone / Planned Engineering Work</w:t>
            </w:r>
          </w:p>
        </w:tc>
      </w:tr>
      <w:tr>
        <w:tc>
          <w:tcPr>
            <w:tcW w:type="dxa" w:w="2880"/>
          </w:tcPr>
          <w:p>
            <w:pPr>
              <w:jc w:val="left"/>
            </w:pPr>
            <w:r>
              <w:rPr>
                <w:rFonts w:ascii="Times New Roman" w:hAnsi="Times New Roman" w:cs="Times New Roman"/>
                <w:b w:val="0"/>
                <w:i w:val="0"/>
                <w:color w:val="1E293B"/>
                <w:sz w:val="19"/>
              </w:rPr>
              <w:t>Phase A — Containerization</w:t>
            </w:r>
          </w:p>
        </w:tc>
        <w:tc>
          <w:tcPr>
            <w:tcW w:type="dxa" w:w="6048"/>
          </w:tcPr>
          <w:p>
            <w:pPr>
              <w:jc w:val="left"/>
            </w:pPr>
            <w:r>
              <w:rPr>
                <w:rFonts w:ascii="Times New Roman" w:hAnsi="Times New Roman" w:cs="Times New Roman"/>
                <w:b w:val="0"/>
                <w:i w:val="0"/>
                <w:color w:val="1E293B"/>
                <w:sz w:val="19"/>
              </w:rPr>
              <w:t>Package the FastAPI backend, React frontend, and Nginx reverse proxy into a production Docker Compose stack for automated local validation.</w:t>
            </w:r>
          </w:p>
        </w:tc>
      </w:tr>
      <w:tr>
        <w:tc>
          <w:tcPr>
            <w:tcW w:type="dxa" w:w="2880"/>
          </w:tcPr>
          <w:p>
            <w:pPr>
              <w:jc w:val="left"/>
            </w:pPr>
            <w:r>
              <w:rPr>
                <w:rFonts w:ascii="Times New Roman" w:hAnsi="Times New Roman" w:cs="Times New Roman"/>
                <w:b w:val="0"/>
                <w:i w:val="0"/>
                <w:color w:val="1E293B"/>
                <w:sz w:val="19"/>
              </w:rPr>
              <w:t>Phase B — Database Hardening</w:t>
            </w:r>
          </w:p>
        </w:tc>
        <w:tc>
          <w:tcPr>
            <w:tcW w:type="dxa" w:w="6048"/>
          </w:tcPr>
          <w:p>
            <w:pPr>
              <w:jc w:val="left"/>
            </w:pPr>
            <w:r>
              <w:rPr>
                <w:rFonts w:ascii="Times New Roman" w:hAnsi="Times New Roman" w:cs="Times New Roman"/>
                <w:b w:val="0"/>
                <w:i w:val="0"/>
                <w:color w:val="1E293B"/>
                <w:sz w:val="19"/>
              </w:rPr>
              <w:t>Deploy managed PostgreSQL 15 with versioned Alembic schema migrations and automated backup/restore scripts.</w:t>
            </w:r>
          </w:p>
        </w:tc>
      </w:tr>
      <w:tr>
        <w:tc>
          <w:tcPr>
            <w:tcW w:type="dxa" w:w="2880"/>
          </w:tcPr>
          <w:p>
            <w:pPr>
              <w:jc w:val="left"/>
            </w:pPr>
            <w:r>
              <w:rPr>
                <w:rFonts w:ascii="Times New Roman" w:hAnsi="Times New Roman" w:cs="Times New Roman"/>
                <w:b w:val="0"/>
                <w:i w:val="0"/>
                <w:color w:val="1E293B"/>
                <w:sz w:val="19"/>
              </w:rPr>
              <w:t>Phase C — Security &amp; RBAC</w:t>
            </w:r>
          </w:p>
        </w:tc>
        <w:tc>
          <w:tcPr>
            <w:tcW w:type="dxa" w:w="6048"/>
          </w:tcPr>
          <w:p>
            <w:pPr>
              <w:jc w:val="left"/>
            </w:pPr>
            <w:r>
              <w:rPr>
                <w:rFonts w:ascii="Times New Roman" w:hAnsi="Times New Roman" w:cs="Times New Roman"/>
                <w:b w:val="0"/>
                <w:i w:val="0"/>
                <w:color w:val="1E293B"/>
                <w:sz w:val="19"/>
              </w:rPr>
              <w:t>Implement Argon2id authentication, JWT session handling, rate-limiting on API endpoints, and role-based permissions (Admin, Analyst, Viewer).</w:t>
            </w:r>
          </w:p>
        </w:tc>
      </w:tr>
      <w:tr>
        <w:tc>
          <w:tcPr>
            <w:tcW w:type="dxa" w:w="2880"/>
          </w:tcPr>
          <w:p>
            <w:pPr>
              <w:jc w:val="left"/>
            </w:pPr>
            <w:r>
              <w:rPr>
                <w:rFonts w:ascii="Times New Roman" w:hAnsi="Times New Roman" w:cs="Times New Roman"/>
                <w:b w:val="0"/>
                <w:i w:val="0"/>
                <w:color w:val="1E293B"/>
                <w:sz w:val="19"/>
              </w:rPr>
              <w:t>Phase D — Email Gateway Hooks</w:t>
            </w:r>
          </w:p>
        </w:tc>
        <w:tc>
          <w:tcPr>
            <w:tcW w:type="dxa" w:w="6048"/>
          </w:tcPr>
          <w:p>
            <w:pPr>
              <w:jc w:val="left"/>
            </w:pPr>
            <w:r>
              <w:rPr>
                <w:rFonts w:ascii="Times New Roman" w:hAnsi="Times New Roman" w:cs="Times New Roman"/>
                <w:b w:val="0"/>
                <w:i w:val="0"/>
                <w:color w:val="1E293B"/>
                <w:sz w:val="19"/>
              </w:rPr>
              <w:t>Integrate Microsoft Graph API webhooks and IMAP listeners for passive in-flight email analysis and quarantine actions.</w:t>
            </w:r>
          </w:p>
        </w:tc>
      </w:tr>
      <w:tr>
        <w:tc>
          <w:tcPr>
            <w:tcW w:type="dxa" w:w="2880"/>
          </w:tcPr>
          <w:p>
            <w:pPr>
              <w:jc w:val="left"/>
            </w:pPr>
            <w:r>
              <w:rPr>
                <w:rFonts w:ascii="Times New Roman" w:hAnsi="Times New Roman" w:cs="Times New Roman"/>
                <w:b w:val="0"/>
                <w:i w:val="0"/>
                <w:color w:val="1E293B"/>
                <w:sz w:val="19"/>
              </w:rPr>
              <w:t>Phase E — On-Premise AI Inference</w:t>
            </w:r>
          </w:p>
        </w:tc>
        <w:tc>
          <w:tcPr>
            <w:tcW w:type="dxa" w:w="6048"/>
          </w:tcPr>
          <w:p>
            <w:pPr>
              <w:jc w:val="left"/>
            </w:pPr>
            <w:r>
              <w:rPr>
                <w:rFonts w:ascii="Times New Roman" w:hAnsi="Times New Roman" w:cs="Times New Roman"/>
                <w:b w:val="0"/>
                <w:i w:val="0"/>
                <w:color w:val="1E293B"/>
                <w:sz w:val="19"/>
              </w:rPr>
              <w:t>Deploy local quantized language models via Ollama to enable air-gapped, privacy-compliant behavioral simulations.</w:t>
            </w:r>
          </w:p>
        </w:tc>
      </w:tr>
      <w:tr>
        <w:tc>
          <w:tcPr>
            <w:tcW w:type="dxa" w:w="2880"/>
          </w:tcPr>
          <w:p>
            <w:pPr>
              <w:jc w:val="left"/>
            </w:pPr>
            <w:r>
              <w:rPr>
                <w:rFonts w:ascii="Times New Roman" w:hAnsi="Times New Roman" w:cs="Times New Roman"/>
                <w:b w:val="0"/>
                <w:i w:val="0"/>
                <w:color w:val="1E293B"/>
                <w:sz w:val="19"/>
              </w:rPr>
              <w:t>Phase F — Enterprise Compliance</w:t>
            </w:r>
          </w:p>
        </w:tc>
        <w:tc>
          <w:tcPr>
            <w:tcW w:type="dxa" w:w="6048"/>
          </w:tcPr>
          <w:p>
            <w:pPr>
              <w:jc w:val="left"/>
            </w:pPr>
            <w:r>
              <w:rPr>
                <w:rFonts w:ascii="Times New Roman" w:hAnsi="Times New Roman" w:cs="Times New Roman"/>
                <w:b w:val="0"/>
                <w:i w:val="0"/>
                <w:color w:val="1E293B"/>
                <w:sz w:val="19"/>
              </w:rPr>
              <w:t>Implement automated PDF executive reporting, SIEM Syslog forwarding, and compliance templates for NIST CSF and ISO 27001.</w:t>
            </w:r>
          </w:p>
        </w:tc>
      </w:tr>
    </w:tbl>
    <w:p>
      <w:pPr>
        <w:spacing w:after="140"/>
      </w:pPr>
    </w:p>
    <w:p>
      <w:pPr>
        <w:pStyle w:val="Heading1"/>
        <w:jc w:val="center"/>
        <w:pageBreakBefore/>
        <w:spacing w:before="0" w:after="240"/>
      </w:pPr>
      <w:r>
        <w:rPr>
          <w:rFonts w:ascii="Times New Roman" w:hAnsi="Times New Roman" w:cs="Times New Roman"/>
          <w:b/>
          <w:i w:val="0"/>
          <w:sz w:val="30"/>
        </w:rPr>
        <w:t>REFERENCES</w:t>
      </w:r>
    </w:p>
    <w:p>
      <w:pPr>
        <w:jc w:val="both"/>
        <w:spacing w:before="40" w:after="80" w:line="260" w:lineRule="auto"/>
        <w:ind w:left="420" w:hanging="420"/>
      </w:pPr>
      <w:r>
        <w:rPr>
          <w:rFonts w:ascii="Times New Roman" w:hAnsi="Times New Roman" w:cs="Times New Roman"/>
          <w:b/>
          <w:i w:val="0"/>
          <w:sz w:val="21"/>
        </w:rPr>
        <w:t>[1]</w:t>
        <w:tab/>
      </w:r>
      <w:r>
        <w:rPr>
          <w:rFonts w:ascii="Times New Roman" w:hAnsi="Times New Roman" w:cs="Times New Roman"/>
          <w:b w:val="0"/>
          <w:i w:val="0"/>
          <w:sz w:val="21"/>
        </w:rPr>
        <w:t>R. Sommer and V. Paxson, "Outside the closed world: On using machine learning for network intrusion detection," in IEEE Symposium on Security and Privacy, 2010, pp. 305–316.</w:t>
      </w:r>
    </w:p>
    <w:p>
      <w:pPr>
        <w:jc w:val="both"/>
        <w:spacing w:before="40" w:after="80" w:line="260" w:lineRule="auto"/>
        <w:ind w:left="420" w:hanging="420"/>
      </w:pPr>
      <w:r>
        <w:rPr>
          <w:rFonts w:ascii="Times New Roman" w:hAnsi="Times New Roman" w:cs="Times New Roman"/>
          <w:b/>
          <w:i w:val="0"/>
          <w:sz w:val="21"/>
        </w:rPr>
        <w:t>[2]</w:t>
        <w:tab/>
      </w:r>
      <w:r>
        <w:rPr>
          <w:rFonts w:ascii="Times New Roman" w:hAnsi="Times New Roman" w:cs="Times New Roman"/>
          <w:b w:val="0"/>
          <w:i w:val="0"/>
          <w:sz w:val="21"/>
        </w:rPr>
        <w:t>P. Kumaraguru, A. Rhee, A. Acquisti, L. F. Cranor, J. Hong, and E. Nunge, "Protecting people from phishing: The design and evaluation of an embedded training email system," in Proceedings of the SIGCHI Conference on Human Factors in Computing Systems (CHI), 2007, pp. 905–914.</w:t>
      </w:r>
    </w:p>
    <w:p>
      <w:pPr>
        <w:jc w:val="both"/>
        <w:spacing w:before="40" w:after="80" w:line="260" w:lineRule="auto"/>
        <w:ind w:left="420" w:hanging="420"/>
      </w:pPr>
      <w:r>
        <w:rPr>
          <w:rFonts w:ascii="Times New Roman" w:hAnsi="Times New Roman" w:cs="Times New Roman"/>
          <w:b/>
          <w:i w:val="0"/>
          <w:sz w:val="21"/>
        </w:rPr>
        <w:t>[3]</w:t>
        <w:tab/>
      </w:r>
      <w:r>
        <w:rPr>
          <w:rFonts w:ascii="Times New Roman" w:hAnsi="Times New Roman" w:cs="Times New Roman"/>
          <w:b w:val="0"/>
          <w:i w:val="0"/>
          <w:sz w:val="21"/>
        </w:rPr>
        <w:t>Z. Alkhalil, C. Hewage, L. Nawaf, and I. Khan, "Phishing attacks: A recent comprehensive study and a new anatomy," Frontiers in Computer Science, vol. 3, p. 563060, 2021.</w:t>
      </w:r>
    </w:p>
    <w:p>
      <w:pPr>
        <w:jc w:val="both"/>
        <w:spacing w:before="40" w:after="80" w:line="260" w:lineRule="auto"/>
        <w:ind w:left="420" w:hanging="420"/>
      </w:pPr>
      <w:r>
        <w:rPr>
          <w:rFonts w:ascii="Times New Roman" w:hAnsi="Times New Roman" w:cs="Times New Roman"/>
          <w:b/>
          <w:i w:val="0"/>
          <w:sz w:val="21"/>
        </w:rPr>
        <w:t>[4]</w:t>
        <w:tab/>
      </w:r>
      <w:r>
        <w:rPr>
          <w:rFonts w:ascii="Times New Roman" w:hAnsi="Times New Roman" w:cs="Times New Roman"/>
          <w:b w:val="0"/>
          <w:i w:val="0"/>
          <w:sz w:val="21"/>
        </w:rPr>
        <w:t>R. B. Cialdini, Influence: Science and Practice, 5th ed. Boston, MA, USA: Allyn &amp; Bacon, 2009.</w:t>
      </w:r>
    </w:p>
    <w:p>
      <w:pPr>
        <w:jc w:val="both"/>
        <w:spacing w:before="40" w:after="80" w:line="260" w:lineRule="auto"/>
        <w:ind w:left="420" w:hanging="420"/>
      </w:pPr>
      <w:r>
        <w:rPr>
          <w:rFonts w:ascii="Times New Roman" w:hAnsi="Times New Roman" w:cs="Times New Roman"/>
          <w:b/>
          <w:i w:val="0"/>
          <w:sz w:val="21"/>
        </w:rPr>
        <w:t>[5]</w:t>
        <w:tab/>
      </w:r>
      <w:r>
        <w:rPr>
          <w:rFonts w:ascii="Times New Roman" w:hAnsi="Times New Roman" w:cs="Times New Roman"/>
          <w:b w:val="0"/>
          <w:i w:val="0"/>
          <w:sz w:val="21"/>
        </w:rPr>
        <w:t>M. Jakobsson and S. Myers, Phishing and Countermeasures: Understanding the Increasing Problem of Electronic Identity Theft. Hoboken, NJ, USA: Wiley-Interscience, 2007.</w:t>
      </w:r>
    </w:p>
    <w:p>
      <w:pPr>
        <w:jc w:val="both"/>
        <w:spacing w:before="40" w:after="80" w:line="260" w:lineRule="auto"/>
        <w:ind w:left="420" w:hanging="420"/>
      </w:pPr>
      <w:r>
        <w:rPr>
          <w:rFonts w:ascii="Times New Roman" w:hAnsi="Times New Roman" w:cs="Times New Roman"/>
          <w:b/>
          <w:i w:val="0"/>
          <w:sz w:val="21"/>
        </w:rPr>
        <w:t>[6]</w:t>
        <w:tab/>
      </w:r>
      <w:r>
        <w:rPr>
          <w:rFonts w:ascii="Times New Roman" w:hAnsi="Times New Roman" w:cs="Times New Roman"/>
          <w:b w:val="0"/>
          <w:i w:val="0"/>
          <w:sz w:val="21"/>
        </w:rPr>
        <w:t>S. Sheng, M. Holbrook, P. Kumaraguru, L. F. Cranor, and J. Downs, "Who falls for phish? A demographic analysis of phishing susceptibility and effectiveness of interventions," in Proceedings of the SIGCHI Conference on Human Factors in Computing Systems (CHI), 2010, pp. 373–382.</w:t>
      </w:r>
    </w:p>
    <w:p>
      <w:pPr>
        <w:jc w:val="both"/>
        <w:spacing w:before="40" w:after="80" w:line="260" w:lineRule="auto"/>
        <w:ind w:left="420" w:hanging="420"/>
      </w:pPr>
      <w:r>
        <w:rPr>
          <w:rFonts w:ascii="Times New Roman" w:hAnsi="Times New Roman" w:cs="Times New Roman"/>
          <w:b/>
          <w:i w:val="0"/>
          <w:sz w:val="21"/>
        </w:rPr>
        <w:t>[7]</w:t>
        <w:tab/>
      </w:r>
      <w:r>
        <w:rPr>
          <w:rFonts w:ascii="Times New Roman" w:hAnsi="Times New Roman" w:cs="Times New Roman"/>
          <w:b w:val="0"/>
          <w:i w:val="0"/>
          <w:sz w:val="21"/>
        </w:rPr>
        <w:t>J. S. Downs, M. B. Holbrook, and L. F. Cranor, "Decision strategies and susceptibility to phishing," in Proceedings of the Second Symposium on Usable Privacy and Security (SOUPS), 2006, pp. 79–90.</w:t>
      </w:r>
    </w:p>
    <w:p>
      <w:pPr>
        <w:jc w:val="both"/>
        <w:spacing w:before="40" w:after="80" w:line="260" w:lineRule="auto"/>
        <w:ind w:left="420" w:hanging="420"/>
      </w:pPr>
      <w:r>
        <w:rPr>
          <w:rFonts w:ascii="Times New Roman" w:hAnsi="Times New Roman" w:cs="Times New Roman"/>
          <w:b/>
          <w:i w:val="0"/>
          <w:sz w:val="21"/>
        </w:rPr>
        <w:t>[8]</w:t>
        <w:tab/>
      </w:r>
      <w:r>
        <w:rPr>
          <w:rFonts w:ascii="Times New Roman" w:hAnsi="Times New Roman" w:cs="Times New Roman"/>
          <w:b w:val="0"/>
          <w:i w:val="0"/>
          <w:sz w:val="21"/>
        </w:rPr>
        <w:t>A. Vishwanath, T. Herath, R. Chen, J. Wang, and H. R. Rao, "Why do people get phished? Testing individual differences in phishing vulnerability within an integrated, information processing model," Decision Support Systems, vol. 51, no. 3, pp. 576–586, 2011.</w:t>
      </w:r>
    </w:p>
    <w:p>
      <w:pPr>
        <w:jc w:val="both"/>
        <w:spacing w:before="40" w:after="80" w:line="260" w:lineRule="auto"/>
        <w:ind w:left="420" w:hanging="420"/>
      </w:pPr>
      <w:r>
        <w:rPr>
          <w:rFonts w:ascii="Times New Roman" w:hAnsi="Times New Roman" w:cs="Times New Roman"/>
          <w:b/>
          <w:i w:val="0"/>
          <w:sz w:val="21"/>
        </w:rPr>
        <w:t>[9]</w:t>
        <w:tab/>
      </w:r>
      <w:r>
        <w:rPr>
          <w:rFonts w:ascii="Times New Roman" w:hAnsi="Times New Roman" w:cs="Times New Roman"/>
          <w:b w:val="0"/>
          <w:i w:val="0"/>
          <w:sz w:val="21"/>
        </w:rPr>
        <w:t>M. Cinque, D. Cotroneo, and A. Pecchia, "Challenges and directions in Security Information and Event Management (SIEM)," in IEEE International Symposium on Software Reliability Engineering Workshops (ISSREW), 2018, pp. 95–99.</w:t>
      </w:r>
    </w:p>
    <w:p>
      <w:pPr>
        <w:jc w:val="both"/>
        <w:spacing w:before="40" w:after="80" w:line="260" w:lineRule="auto"/>
        <w:ind w:left="420" w:hanging="420"/>
      </w:pPr>
      <w:r>
        <w:rPr>
          <w:rFonts w:ascii="Times New Roman" w:hAnsi="Times New Roman" w:cs="Times New Roman"/>
          <w:b/>
          <w:i w:val="0"/>
          <w:sz w:val="21"/>
        </w:rPr>
        <w:t>[10]</w:t>
        <w:tab/>
      </w:r>
      <w:r>
        <w:rPr>
          <w:rFonts w:ascii="Times New Roman" w:hAnsi="Times New Roman" w:cs="Times New Roman"/>
          <w:b w:val="0"/>
          <w:i w:val="0"/>
          <w:sz w:val="21"/>
        </w:rPr>
        <w:t>K. Scarfone and P. Mell, "Guide to Intrusion Detection and Prevention Systems (IDPS)," National Institute of Standards and Technology, NIST Special Publication 800-94, 2007.</w:t>
      </w:r>
    </w:p>
    <w:p>
      <w:pPr>
        <w:jc w:val="both"/>
        <w:spacing w:before="40" w:after="80" w:line="260" w:lineRule="auto"/>
        <w:ind w:left="420" w:hanging="420"/>
      </w:pPr>
      <w:r>
        <w:rPr>
          <w:rFonts w:ascii="Times New Roman" w:hAnsi="Times New Roman" w:cs="Times New Roman"/>
          <w:b/>
          <w:i w:val="0"/>
          <w:sz w:val="21"/>
        </w:rPr>
        <w:t>[11]</w:t>
        <w:tab/>
      </w:r>
      <w:r>
        <w:rPr>
          <w:rFonts w:ascii="Times New Roman" w:hAnsi="Times New Roman" w:cs="Times New Roman"/>
          <w:b w:val="0"/>
          <w:i w:val="0"/>
          <w:sz w:val="21"/>
        </w:rPr>
        <w:t>MITRE Corporation, "MITRE ATT&amp;CK: Phishing (T1566)," [Online]. Available: https://attack.mitre.org/techniques/T1566/</w:t>
      </w:r>
    </w:p>
    <w:p>
      <w:pPr>
        <w:jc w:val="both"/>
        <w:spacing w:before="40" w:after="80" w:line="260" w:lineRule="auto"/>
        <w:ind w:left="420" w:hanging="420"/>
      </w:pPr>
      <w:r>
        <w:rPr>
          <w:rFonts w:ascii="Times New Roman" w:hAnsi="Times New Roman" w:cs="Times New Roman"/>
          <w:b/>
          <w:i w:val="0"/>
          <w:sz w:val="21"/>
        </w:rPr>
        <w:t>[12]</w:t>
        <w:tab/>
      </w:r>
      <w:r>
        <w:rPr>
          <w:rFonts w:ascii="Times New Roman" w:hAnsi="Times New Roman" w:cs="Times New Roman"/>
          <w:b w:val="0"/>
          <w:i w:val="0"/>
          <w:sz w:val="21"/>
        </w:rPr>
        <w:t>OWASP Foundation, "OWASP Top 10 Web Application Security Risks," 2021. [Online]. Available: https://owasp.org/Top10/</w:t>
      </w:r>
    </w:p>
    <w:p>
      <w:pPr>
        <w:jc w:val="both"/>
        <w:spacing w:before="40" w:after="80" w:line="260" w:lineRule="auto"/>
        <w:ind w:left="420" w:hanging="420"/>
      </w:pPr>
      <w:r>
        <w:rPr>
          <w:rFonts w:ascii="Times New Roman" w:hAnsi="Times New Roman" w:cs="Times New Roman"/>
          <w:b/>
          <w:i w:val="0"/>
          <w:sz w:val="21"/>
        </w:rPr>
        <w:t>[13]</w:t>
        <w:tab/>
      </w:r>
      <w:r>
        <w:rPr>
          <w:rFonts w:ascii="Times New Roman" w:hAnsi="Times New Roman" w:cs="Times New Roman"/>
          <w:b w:val="0"/>
          <w:i w:val="0"/>
          <w:sz w:val="21"/>
        </w:rPr>
        <w:t>Google, "Gemini API Documentation and Developer Guide," 2026. [Online]. Available: https://ai.google.dev/gemini-api/docs</w:t>
      </w:r>
    </w:p>
    <w:p>
      <w:pPr>
        <w:jc w:val="both"/>
        <w:spacing w:before="40" w:after="80" w:line="260" w:lineRule="auto"/>
        <w:ind w:left="420" w:hanging="420"/>
      </w:pPr>
      <w:r>
        <w:rPr>
          <w:rFonts w:ascii="Times New Roman" w:hAnsi="Times New Roman" w:cs="Times New Roman"/>
          <w:b/>
          <w:i w:val="0"/>
          <w:sz w:val="21"/>
        </w:rPr>
        <w:t>[14]</w:t>
        <w:tab/>
      </w:r>
      <w:r>
        <w:rPr>
          <w:rFonts w:ascii="Times New Roman" w:hAnsi="Times New Roman" w:cs="Times New Roman"/>
          <w:b w:val="0"/>
          <w:i w:val="0"/>
          <w:sz w:val="21"/>
        </w:rPr>
        <w:t>S. Ramirez, "FastAPI Web Framework Documentation," [Online]. Available: https://fastapi.tiangolo.com/</w:t>
      </w:r>
    </w:p>
    <w:p>
      <w:pPr>
        <w:jc w:val="both"/>
        <w:spacing w:before="40" w:after="80" w:line="260" w:lineRule="auto"/>
        <w:ind w:left="420" w:hanging="420"/>
      </w:pPr>
      <w:r>
        <w:rPr>
          <w:rFonts w:ascii="Times New Roman" w:hAnsi="Times New Roman" w:cs="Times New Roman"/>
          <w:b/>
          <w:i w:val="0"/>
          <w:sz w:val="21"/>
        </w:rPr>
        <w:t>[15]</w:t>
        <w:tab/>
      </w:r>
      <w:r>
        <w:rPr>
          <w:rFonts w:ascii="Times New Roman" w:hAnsi="Times New Roman" w:cs="Times New Roman"/>
          <w:b w:val="0"/>
          <w:i w:val="0"/>
          <w:sz w:val="21"/>
        </w:rPr>
        <w:t>National Institute of Standards and Technology, "Computer Security Incident Handling Guide," NIST Special Publication 800-61 Rev. 2, 2012.</w:t>
      </w:r>
    </w:p>
    <w:p>
      <w:pPr>
        <w:jc w:val="both"/>
        <w:spacing w:before="40" w:after="80" w:line="260" w:lineRule="auto"/>
        <w:ind w:left="420" w:hanging="420"/>
      </w:pPr>
      <w:r>
        <w:rPr>
          <w:rFonts w:ascii="Times New Roman" w:hAnsi="Times New Roman" w:cs="Times New Roman"/>
          <w:b/>
          <w:i w:val="0"/>
          <w:sz w:val="21"/>
        </w:rPr>
        <w:t>[16]</w:t>
        <w:tab/>
      </w:r>
      <w:r>
        <w:rPr>
          <w:rFonts w:ascii="Times New Roman" w:hAnsi="Times New Roman" w:cs="Times New Roman"/>
          <w:b w:val="0"/>
          <w:i w:val="0"/>
          <w:sz w:val="21"/>
        </w:rPr>
        <w:t>National Institute of Standards and Technology, "Guide to Computer Security Log Management," NIST Special Publication 800-92, 2006.</w:t>
      </w:r>
    </w:p>
    <w:p>
      <w:pPr>
        <w:jc w:val="both"/>
        <w:spacing w:before="40" w:after="80" w:line="260" w:lineRule="auto"/>
        <w:ind w:left="420" w:hanging="420"/>
      </w:pPr>
      <w:r>
        <w:rPr>
          <w:rFonts w:ascii="Times New Roman" w:hAnsi="Times New Roman" w:cs="Times New Roman"/>
          <w:b/>
          <w:i w:val="0"/>
          <w:sz w:val="21"/>
        </w:rPr>
        <w:t>[17]</w:t>
        <w:tab/>
      </w:r>
      <w:r>
        <w:rPr>
          <w:rFonts w:ascii="Times New Roman" w:hAnsi="Times New Roman" w:cs="Times New Roman"/>
          <w:b w:val="0"/>
          <w:i w:val="0"/>
          <w:sz w:val="21"/>
        </w:rPr>
        <w:t>National Institute of Standards and Technology, "Framework for Improving Critical Infrastructure Cybersecurity (NIST CSF)," Version 1.1, 2018.</w:t>
      </w:r>
    </w:p>
    <w:p>
      <w:pPr>
        <w:jc w:val="both"/>
        <w:spacing w:before="40" w:after="80" w:line="260" w:lineRule="auto"/>
        <w:ind w:left="420" w:hanging="420"/>
      </w:pPr>
      <w:r>
        <w:rPr>
          <w:rFonts w:ascii="Times New Roman" w:hAnsi="Times New Roman" w:cs="Times New Roman"/>
          <w:b/>
          <w:i w:val="0"/>
          <w:sz w:val="21"/>
        </w:rPr>
        <w:t>[18]</w:t>
        <w:tab/>
      </w:r>
      <w:r>
        <w:rPr>
          <w:rFonts w:ascii="Times New Roman" w:hAnsi="Times New Roman" w:cs="Times New Roman"/>
          <w:b w:val="0"/>
          <w:i w:val="0"/>
          <w:sz w:val="21"/>
        </w:rPr>
        <w:t>P. Resnick, Ed., "Internet Message Format," IETF RFC 5322, Oct. 2008.</w:t>
      </w:r>
    </w:p>
    <w:p>
      <w:pPr>
        <w:jc w:val="both"/>
        <w:spacing w:before="40" w:after="80" w:line="260" w:lineRule="auto"/>
        <w:ind w:left="420" w:hanging="420"/>
      </w:pPr>
      <w:r>
        <w:rPr>
          <w:rFonts w:ascii="Times New Roman" w:hAnsi="Times New Roman" w:cs="Times New Roman"/>
          <w:b/>
          <w:i w:val="0"/>
          <w:sz w:val="21"/>
        </w:rPr>
        <w:t>[19]</w:t>
        <w:tab/>
      </w:r>
      <w:r>
        <w:rPr>
          <w:rFonts w:ascii="Times New Roman" w:hAnsi="Times New Roman" w:cs="Times New Roman"/>
          <w:b w:val="0"/>
          <w:i w:val="0"/>
          <w:sz w:val="21"/>
        </w:rPr>
        <w:t>S. Kitterman, "Sender Policy Framework (SPF) for Authorizing Use of Domains in Email," IETF RFC 7208, Apr. 2014.</w:t>
      </w:r>
    </w:p>
    <w:p>
      <w:pPr>
        <w:jc w:val="both"/>
        <w:spacing w:before="40" w:after="80" w:line="260" w:lineRule="auto"/>
        <w:ind w:left="420" w:hanging="420"/>
      </w:pPr>
      <w:r>
        <w:rPr>
          <w:rFonts w:ascii="Times New Roman" w:hAnsi="Times New Roman" w:cs="Times New Roman"/>
          <w:b/>
          <w:i w:val="0"/>
          <w:sz w:val="21"/>
        </w:rPr>
        <w:t>[20]</w:t>
        <w:tab/>
      </w:r>
      <w:r>
        <w:rPr>
          <w:rFonts w:ascii="Times New Roman" w:hAnsi="Times New Roman" w:cs="Times New Roman"/>
          <w:b w:val="0"/>
          <w:i w:val="0"/>
          <w:sz w:val="21"/>
        </w:rPr>
        <w:t>D. Crocker, T. Hansen, and M. Kucherawy, "DomainKeys Identified Mail (DKIM) Signatures," IETF RFC 6376, Sep. 2011.</w:t>
      </w:r>
    </w:p>
    <w:p>
      <w:pPr>
        <w:jc w:val="both"/>
        <w:spacing w:before="40" w:after="80" w:line="260" w:lineRule="auto"/>
        <w:ind w:left="420" w:hanging="420"/>
      </w:pPr>
      <w:r>
        <w:rPr>
          <w:rFonts w:ascii="Times New Roman" w:hAnsi="Times New Roman" w:cs="Times New Roman"/>
          <w:b/>
          <w:i w:val="0"/>
          <w:sz w:val="21"/>
        </w:rPr>
        <w:t>[21]</w:t>
        <w:tab/>
      </w:r>
      <w:r>
        <w:rPr>
          <w:rFonts w:ascii="Times New Roman" w:hAnsi="Times New Roman" w:cs="Times New Roman"/>
          <w:b w:val="0"/>
          <w:i w:val="0"/>
          <w:sz w:val="21"/>
        </w:rPr>
        <w:t>M. Kucherawy and E. Zwicky, "Domain-based Message Authentication, Reporting, and Conformance (DMARC)," IETF RFC 7489, Mar. 2015.</w:t>
      </w:r>
    </w:p>
    <w:p>
      <w:pPr>
        <w:jc w:val="both"/>
        <w:spacing w:before="40" w:after="80" w:line="260" w:lineRule="auto"/>
        <w:ind w:left="420" w:hanging="420"/>
      </w:pPr>
      <w:r>
        <w:rPr>
          <w:rFonts w:ascii="Times New Roman" w:hAnsi="Times New Roman" w:cs="Times New Roman"/>
          <w:b/>
          <w:i w:val="0"/>
          <w:sz w:val="21"/>
        </w:rPr>
        <w:t>[22]</w:t>
        <w:tab/>
      </w:r>
      <w:r>
        <w:rPr>
          <w:rFonts w:ascii="Times New Roman" w:hAnsi="Times New Roman" w:cs="Times New Roman"/>
          <w:b w:val="0"/>
          <w:i w:val="0"/>
          <w:sz w:val="21"/>
        </w:rPr>
        <w:t>OASIS, "STIX Version 2.1: Structured Threat Information Expression Specification," Committee Specification 02, Jan. 2020.</w:t>
      </w:r>
    </w:p>
    <w:p>
      <w:pPr>
        <w:jc w:val="both"/>
        <w:spacing w:before="40" w:after="80" w:line="260" w:lineRule="auto"/>
        <w:ind w:left="420" w:hanging="420"/>
      </w:pPr>
      <w:r>
        <w:rPr>
          <w:rFonts w:ascii="Times New Roman" w:hAnsi="Times New Roman" w:cs="Times New Roman"/>
          <w:b/>
          <w:i w:val="0"/>
          <w:sz w:val="21"/>
        </w:rPr>
        <w:t>[23]</w:t>
        <w:tab/>
      </w:r>
      <w:r>
        <w:rPr>
          <w:rFonts w:ascii="Times New Roman" w:hAnsi="Times New Roman" w:cs="Times New Roman"/>
          <w:b w:val="0"/>
          <w:i w:val="0"/>
          <w:sz w:val="21"/>
        </w:rPr>
        <w:t>React Development Team, "React Documentation," Meta Platforms, Inc., 2026. [Online]. Available: https://react.dev</w:t>
      </w:r>
    </w:p>
    <w:p>
      <w:pPr>
        <w:jc w:val="both"/>
        <w:spacing w:before="40" w:after="80" w:line="260" w:lineRule="auto"/>
        <w:ind w:left="420" w:hanging="420"/>
      </w:pPr>
      <w:r>
        <w:rPr>
          <w:rFonts w:ascii="Times New Roman" w:hAnsi="Times New Roman" w:cs="Times New Roman"/>
          <w:b/>
          <w:i w:val="0"/>
          <w:sz w:val="21"/>
        </w:rPr>
        <w:t>[24]</w:t>
        <w:tab/>
      </w:r>
      <w:r>
        <w:rPr>
          <w:rFonts w:ascii="Times New Roman" w:hAnsi="Times New Roman" w:cs="Times New Roman"/>
          <w:b w:val="0"/>
          <w:i w:val="0"/>
          <w:sz w:val="21"/>
        </w:rPr>
        <w:t>Vite Core Team, "Vite Next Generation Frontend Tooling Documentation," 2026. [Online]. Available: https://vite.dev</w:t>
      </w:r>
    </w:p>
    <w:p>
      <w:pPr>
        <w:jc w:val="both"/>
        <w:spacing w:before="40" w:after="80" w:line="260" w:lineRule="auto"/>
        <w:ind w:left="420" w:hanging="420"/>
      </w:pPr>
      <w:r>
        <w:rPr>
          <w:rFonts w:ascii="Times New Roman" w:hAnsi="Times New Roman" w:cs="Times New Roman"/>
          <w:b/>
          <w:i w:val="0"/>
          <w:sz w:val="21"/>
        </w:rPr>
        <w:t>[25]</w:t>
        <w:tab/>
      </w:r>
      <w:r>
        <w:rPr>
          <w:rFonts w:ascii="Times New Roman" w:hAnsi="Times New Roman" w:cs="Times New Roman"/>
          <w:b w:val="0"/>
          <w:i w:val="0"/>
          <w:sz w:val="21"/>
        </w:rPr>
        <w:t>SQLAlchemy Authors, "SQLAlchemy 2.0 Documentation," 2026. [Online]. Available: https://docs.sqlalchemy.org</w:t>
      </w:r>
    </w:p>
    <w:sectPr>
      <w:footerReference w:type="default" r:id="rId24"/>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C125" w14:textId="77777777" w:rsidR="00445B5B" w:rsidRDefault="00445B5B">
      <w:r>
        <w:separator/>
      </w:r>
    </w:p>
  </w:endnote>
  <w:endnote w:type="continuationSeparator" w:id="0">
    <w:p w14:paraId="5FACF6EF" w14:textId="77777777" w:rsidR="00445B5B" w:rsidRDefault="00445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9F9B" w14:textId="77777777" w:rsidR="00DA3F37" w:rsidRDefault="00000000">
    <w:pPr>
      <w:jc w:val="center"/>
    </w:pPr>
    <w:r>
      <w:rPr>
        <w:sz w:val="22"/>
        <w:szCs w:val="22"/>
      </w:rPr>
      <w:fldChar w:fldCharType="begin"/>
    </w:r>
    <w:r>
      <w:rPr>
        <w:sz w:val="22"/>
        <w:szCs w:val="22"/>
      </w:rPr>
      <w:instrText>PAGE</w:instrText>
    </w:r>
    <w:r>
      <w:rPr>
        <w:sz w:val="22"/>
        <w:szCs w:val="22"/>
      </w:rPr>
      <w:fldChar w:fldCharType="separate"/>
    </w:r>
    <w:r w:rsidR="00C049F1">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D463" w14:textId="77777777" w:rsidR="00DA3F37" w:rsidRDefault="00DA3F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8F29" w14:textId="63F83A35" w:rsidR="00DA3F37" w:rsidRDefault="00000000">
    <w:pPr>
      <w:jc w:val="center"/>
    </w:pPr>
    <w:r>
      <w:rPr>
        <w:sz w:val="22"/>
        <w:szCs w:val="22"/>
      </w:rPr>
      <w:fldChar w:fldCharType="begin"/>
    </w:r>
    <w:r>
      <w:rPr>
        <w:sz w:val="22"/>
        <w:szCs w:val="22"/>
      </w:rPr>
      <w:instrText>PAGE</w:instrText>
    </w:r>
    <w:r>
      <w:rPr>
        <w:sz w:val="22"/>
        <w:szCs w:val="22"/>
      </w:rPr>
      <w:fldChar w:fldCharType="separate"/>
    </w:r>
    <w:r w:rsidR="00C049F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0410" w14:textId="77777777" w:rsidR="00445B5B" w:rsidRDefault="00445B5B">
      <w:r>
        <w:separator/>
      </w:r>
    </w:p>
  </w:footnote>
  <w:footnote w:type="continuationSeparator" w:id="0">
    <w:p w14:paraId="404380F7" w14:textId="77777777" w:rsidR="00445B5B" w:rsidRDefault="00445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311"/>
    <w:multiLevelType w:val="hybridMultilevel"/>
    <w:tmpl w:val="9C5260D6"/>
    <w:lvl w:ilvl="0" w:tplc="57C8307E">
      <w:start w:val="1"/>
      <w:numFmt w:val="decimal"/>
      <w:lvlText w:val="%1."/>
      <w:lvlJc w:val="left"/>
      <w:pPr>
        <w:ind w:left="720" w:hanging="360"/>
      </w:pPr>
    </w:lvl>
    <w:lvl w:ilvl="1" w:tplc="B57AA8CA">
      <w:numFmt w:val="decimal"/>
      <w:lvlText w:val=""/>
      <w:lvlJc w:val="left"/>
    </w:lvl>
    <w:lvl w:ilvl="2" w:tplc="EBA6CD4C">
      <w:numFmt w:val="decimal"/>
      <w:lvlText w:val=""/>
      <w:lvlJc w:val="left"/>
    </w:lvl>
    <w:lvl w:ilvl="3" w:tplc="8130825C">
      <w:numFmt w:val="decimal"/>
      <w:lvlText w:val=""/>
      <w:lvlJc w:val="left"/>
    </w:lvl>
    <w:lvl w:ilvl="4" w:tplc="8048C116">
      <w:numFmt w:val="decimal"/>
      <w:lvlText w:val=""/>
      <w:lvlJc w:val="left"/>
    </w:lvl>
    <w:lvl w:ilvl="5" w:tplc="17244138">
      <w:numFmt w:val="decimal"/>
      <w:lvlText w:val=""/>
      <w:lvlJc w:val="left"/>
    </w:lvl>
    <w:lvl w:ilvl="6" w:tplc="73563CD4">
      <w:numFmt w:val="decimal"/>
      <w:lvlText w:val=""/>
      <w:lvlJc w:val="left"/>
    </w:lvl>
    <w:lvl w:ilvl="7" w:tplc="DE4CBD0C">
      <w:numFmt w:val="decimal"/>
      <w:lvlText w:val=""/>
      <w:lvlJc w:val="left"/>
    </w:lvl>
    <w:lvl w:ilvl="8" w:tplc="E6284AD0">
      <w:numFmt w:val="decimal"/>
      <w:lvlText w:val=""/>
      <w:lvlJc w:val="left"/>
    </w:lvl>
  </w:abstractNum>
  <w:abstractNum w:abstractNumId="1" w15:restartNumberingAfterBreak="0">
    <w:nsid w:val="0CA82E12"/>
    <w:multiLevelType w:val="hybridMultilevel"/>
    <w:tmpl w:val="6B808F3E"/>
    <w:lvl w:ilvl="0" w:tplc="C2AA9CC8">
      <w:start w:val="1"/>
      <w:numFmt w:val="bullet"/>
      <w:lvlText w:val="•"/>
      <w:lvlJc w:val="left"/>
      <w:pPr>
        <w:ind w:left="720" w:hanging="360"/>
      </w:pPr>
    </w:lvl>
    <w:lvl w:ilvl="1" w:tplc="4E70AAAA">
      <w:start w:val="1"/>
      <w:numFmt w:val="bullet"/>
      <w:lvlText w:val="–"/>
      <w:lvlJc w:val="left"/>
      <w:pPr>
        <w:ind w:left="1260" w:hanging="360"/>
      </w:pPr>
    </w:lvl>
    <w:lvl w:ilvl="2" w:tplc="BE10EF3E">
      <w:numFmt w:val="decimal"/>
      <w:lvlText w:val=""/>
      <w:lvlJc w:val="left"/>
    </w:lvl>
    <w:lvl w:ilvl="3" w:tplc="BE40380C">
      <w:numFmt w:val="decimal"/>
      <w:lvlText w:val=""/>
      <w:lvlJc w:val="left"/>
    </w:lvl>
    <w:lvl w:ilvl="4" w:tplc="87A8A716">
      <w:numFmt w:val="decimal"/>
      <w:lvlText w:val=""/>
      <w:lvlJc w:val="left"/>
    </w:lvl>
    <w:lvl w:ilvl="5" w:tplc="A5D0D092">
      <w:numFmt w:val="decimal"/>
      <w:lvlText w:val=""/>
      <w:lvlJc w:val="left"/>
    </w:lvl>
    <w:lvl w:ilvl="6" w:tplc="200842C2">
      <w:numFmt w:val="decimal"/>
      <w:lvlText w:val=""/>
      <w:lvlJc w:val="left"/>
    </w:lvl>
    <w:lvl w:ilvl="7" w:tplc="86A28CBA">
      <w:numFmt w:val="decimal"/>
      <w:lvlText w:val=""/>
      <w:lvlJc w:val="left"/>
    </w:lvl>
    <w:lvl w:ilvl="8" w:tplc="230493B4">
      <w:numFmt w:val="decimal"/>
      <w:lvlText w:val=""/>
      <w:lvlJc w:val="left"/>
    </w:lvl>
  </w:abstractNum>
  <w:abstractNum w:abstractNumId="2" w15:restartNumberingAfterBreak="0">
    <w:nsid w:val="0EE52115"/>
    <w:multiLevelType w:val="hybridMultilevel"/>
    <w:tmpl w:val="984C1CCE"/>
    <w:lvl w:ilvl="0" w:tplc="51324618">
      <w:start w:val="1"/>
      <w:numFmt w:val="bullet"/>
      <w:lvlText w:val="●"/>
      <w:lvlJc w:val="left"/>
      <w:pPr>
        <w:ind w:left="720" w:hanging="360"/>
      </w:pPr>
    </w:lvl>
    <w:lvl w:ilvl="1" w:tplc="923685BE">
      <w:start w:val="1"/>
      <w:numFmt w:val="bullet"/>
      <w:lvlText w:val="○"/>
      <w:lvlJc w:val="left"/>
      <w:pPr>
        <w:ind w:left="1440" w:hanging="360"/>
      </w:pPr>
    </w:lvl>
    <w:lvl w:ilvl="2" w:tplc="65ACD32E">
      <w:start w:val="1"/>
      <w:numFmt w:val="bullet"/>
      <w:lvlText w:val="■"/>
      <w:lvlJc w:val="left"/>
      <w:pPr>
        <w:ind w:left="2160" w:hanging="360"/>
      </w:pPr>
    </w:lvl>
    <w:lvl w:ilvl="3" w:tplc="073E2386">
      <w:start w:val="1"/>
      <w:numFmt w:val="bullet"/>
      <w:lvlText w:val="●"/>
      <w:lvlJc w:val="left"/>
      <w:pPr>
        <w:ind w:left="2880" w:hanging="360"/>
      </w:pPr>
    </w:lvl>
    <w:lvl w:ilvl="4" w:tplc="2A6E111E">
      <w:start w:val="1"/>
      <w:numFmt w:val="bullet"/>
      <w:lvlText w:val="○"/>
      <w:lvlJc w:val="left"/>
      <w:pPr>
        <w:ind w:left="3600" w:hanging="360"/>
      </w:pPr>
    </w:lvl>
    <w:lvl w:ilvl="5" w:tplc="1A0CA470">
      <w:start w:val="1"/>
      <w:numFmt w:val="bullet"/>
      <w:lvlText w:val="■"/>
      <w:lvlJc w:val="left"/>
      <w:pPr>
        <w:ind w:left="4320" w:hanging="360"/>
      </w:pPr>
    </w:lvl>
    <w:lvl w:ilvl="6" w:tplc="E89079AC">
      <w:start w:val="1"/>
      <w:numFmt w:val="bullet"/>
      <w:lvlText w:val="●"/>
      <w:lvlJc w:val="left"/>
      <w:pPr>
        <w:ind w:left="5040" w:hanging="360"/>
      </w:pPr>
    </w:lvl>
    <w:lvl w:ilvl="7" w:tplc="4E988FFA">
      <w:start w:val="1"/>
      <w:numFmt w:val="bullet"/>
      <w:lvlText w:val="●"/>
      <w:lvlJc w:val="left"/>
      <w:pPr>
        <w:ind w:left="5760" w:hanging="360"/>
      </w:pPr>
    </w:lvl>
    <w:lvl w:ilvl="8" w:tplc="14D8EA36">
      <w:start w:val="1"/>
      <w:numFmt w:val="bullet"/>
      <w:lvlText w:val="●"/>
      <w:lvlJc w:val="left"/>
      <w:pPr>
        <w:ind w:left="6480" w:hanging="360"/>
      </w:pPr>
    </w:lvl>
  </w:abstractNum>
  <w:abstractNum w:abstractNumId="3" w15:restartNumberingAfterBreak="0">
    <w:nsid w:val="532507FC"/>
    <w:multiLevelType w:val="hybridMultilevel"/>
    <w:tmpl w:val="18FE071C"/>
    <w:lvl w:ilvl="0" w:tplc="23282502">
      <w:start w:val="1"/>
      <w:numFmt w:val="decimal"/>
      <w:lvlText w:val="%1."/>
      <w:lvlJc w:val="left"/>
      <w:pPr>
        <w:ind w:left="720" w:hanging="360"/>
      </w:pPr>
    </w:lvl>
    <w:lvl w:ilvl="1" w:tplc="294A4AF6">
      <w:numFmt w:val="decimal"/>
      <w:lvlText w:val=""/>
      <w:lvlJc w:val="left"/>
    </w:lvl>
    <w:lvl w:ilvl="2" w:tplc="33FEF96E">
      <w:numFmt w:val="decimal"/>
      <w:lvlText w:val=""/>
      <w:lvlJc w:val="left"/>
    </w:lvl>
    <w:lvl w:ilvl="3" w:tplc="7256DC18">
      <w:numFmt w:val="decimal"/>
      <w:lvlText w:val=""/>
      <w:lvlJc w:val="left"/>
    </w:lvl>
    <w:lvl w:ilvl="4" w:tplc="00005C72">
      <w:numFmt w:val="decimal"/>
      <w:lvlText w:val=""/>
      <w:lvlJc w:val="left"/>
    </w:lvl>
    <w:lvl w:ilvl="5" w:tplc="D904FEA0">
      <w:numFmt w:val="decimal"/>
      <w:lvlText w:val=""/>
      <w:lvlJc w:val="left"/>
    </w:lvl>
    <w:lvl w:ilvl="6" w:tplc="F872F7DC">
      <w:numFmt w:val="decimal"/>
      <w:lvlText w:val=""/>
      <w:lvlJc w:val="left"/>
    </w:lvl>
    <w:lvl w:ilvl="7" w:tplc="402E90C6">
      <w:numFmt w:val="decimal"/>
      <w:lvlText w:val=""/>
      <w:lvlJc w:val="left"/>
    </w:lvl>
    <w:lvl w:ilvl="8" w:tplc="7A90585E">
      <w:numFmt w:val="decimal"/>
      <w:lvlText w:val=""/>
      <w:lvlJc w:val="left"/>
    </w:lvl>
  </w:abstractNum>
  <w:num w:numId="1" w16cid:durableId="898327625">
    <w:abstractNumId w:val="2"/>
    <w:lvlOverride w:ilvl="0">
      <w:startOverride w:val="1"/>
    </w:lvlOverride>
  </w:num>
  <w:num w:numId="2" w16cid:durableId="1118792728">
    <w:abstractNumId w:val="1"/>
    <w:lvlOverride w:ilvl="0">
      <w:startOverride w:val="1"/>
    </w:lvlOverride>
  </w:num>
  <w:num w:numId="3" w16cid:durableId="44022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F37"/>
    <w:rsid w:val="00445B5B"/>
    <w:rsid w:val="00A21B6B"/>
    <w:rsid w:val="00C049F1"/>
    <w:rsid w:val="00DA3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C520"/>
  <w15:docId w15:val="{2FE5D5E3-2E84-4B4D-B161-6C99CCAE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F1"/>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color w:val="1F4E79"/>
      <w:sz w:val="28"/>
      <w:szCs w:val="28"/>
    </w:rPr>
  </w:style>
  <w:style w:type="paragraph" w:styleId="Heading3">
    <w:name w:val="heading 3"/>
    <w:uiPriority w:val="9"/>
    <w:unhideWhenUsed/>
    <w:qFormat/>
    <w:pPr>
      <w:outlineLvl w:val="2"/>
    </w:pPr>
    <w:rPr>
      <w:b/>
      <w:bCs/>
      <w:color w:val="1F4E7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43</Pages>
  <Words>10034</Words>
  <Characters>57198</Characters>
  <Application>Microsoft Office Word</Application>
  <DocSecurity>0</DocSecurity>
  <Lines>476</Lines>
  <Paragraphs>134</Paragraphs>
  <ScaleCrop>false</ScaleCrop>
  <Company/>
  <LinksUpToDate>false</LinksUpToDate>
  <CharactersWithSpaces>67098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Project Report</dc:title>
  <dc:creator>SentinelAI Project</dc:creator>
  <cp:lastModifiedBy>mr. Deepak</cp:lastModifiedBy>
  <cp:revision>2</cp:revision>
  <dcterms:created xsi:type="dcterms:W3CDTF">2026-10-09T05:23:00Z</dcterms:created>
  <dcterms:modified xsi:type="dcterms:W3CDTF">2026-10-09T05:35:00Z</dcterms:modified>
</cp:coreProperties>
</file>