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44.0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Le drone vole À CÔTÉ du terrain, jamais au-dessus des personnes, à vitesse réduite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bien une montée logicielle (§6ter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689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(§4.2bis à quinquies).</w:t>
      </w:r>
    </w:p>
    <w:p>
      <w:pPr>
        <w:pStyle w:val="ListParagraph"/>
        <w:numPr>
          <w:ilvl w:val="0"/>
          <w:numId w:val="1"/>
        </w:numPr>
        <w:spacing w:after="40" w:line="264"/>
      </w:pPr>
      <w:r>
        <w:rPr>
          <w:rFonts w:ascii="Calibri" w:cs="Calibri" w:eastAsia="Calibri" w:hAnsi="Calibri"/>
          <w:sz w:val="21"/>
          <w:szCs w:val="21"/>
        </w:rPr>
        <w:t xml:space="preserve">Procédures d'urgence : 10 procédures numérotées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l'opération réelle sera créée dans NAV Drone sous la catégorie SFOC (coordonnées, dates, altitude, polygone réels). Toute permission générée par le résultat de validation sera obtenue avant le vol, et le RPAS Operation Summary accepté joint au dossier. Aucun statut d'autorisation n'est présumé avant cette validation.</w:t>
      </w:r>
    </w:p>
    <w:p>
      <w:pPr>
        <w:pStyle w:val="ListParagraph"/>
        <w:numPr>
          <w:ilvl w:val="0"/>
          <w:numId w:val="1"/>
        </w:numPr>
        <w:spacing w:after="40" w:line="264"/>
      </w:pPr>
      <w:r>
        <w:rPr>
          <w:rFonts w:ascii="Calibri" w:cs="Calibri" w:eastAsia="Calibri" w:hAnsi="Calibri"/>
          <w:sz w:val="21"/>
          <w:szCs w:val="21"/>
        </w:rPr>
        <w:t xml:space="preserve">Pièces administratives : le SFOC-RPAS pour événement annoncé est OBLIGATOIRE.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 il le deviendra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synthétique pour dépôt : ~70 % (voir le tableau détaillé au §0). Les blocs logiciels, l'argument de sécurité, les procédures et le confinement sont avancés (80-90 %) ; les preuves EN VOL et les pièces administratives dépendent d'actions à mener sur le terrain.</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§4.2bis-quinquies sans doublon, chiffres de couverture cohérents.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689 cas de test automatisés (le 278 est un rapport JUnit historique, superseded — voir manifeste §7),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+ 672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672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(§4.2quater ; hypothèses non démontrées : décélération, latence, persistance, reprise, dérive)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joindre le calendrier des dates et une annexe d'analyse par site.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Le site est vraisemblablement en espace contrôlé (à confirmer par NAV Drone, seule référence légale). L'opération sera créée dans NAV Drone sous catégorie SFOC ; toute permission générée par la validation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une VALEUR DE CONCEPTION PROVISOIRE (et non un majorant démontré) tant que les bornes ne sont pas mesurées, car elle utilise la décélération la plus défavorable possible. Voler à 16 m d'un non-impliqué, dans un volume opérationnel en retrait d'un côté du terrain, est envisageable — MAIS le buffer (excursion max après défaillance) NE DOIT PAS être confondu avec la distance minimale visée (30 m). Si l'objectif interne est de conserver 30 m APRÈS une excursion de 16,2 m, la trajectoire NOMINALE doit être planifiée à distance supérieure (≈ 46 m), pas à 16,2 m.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§4.2quater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§4.2quater ; le schéma dessiné indique 15 m et est à corriger au relevé)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(§6ter) et les dangers MOYENS en mini-fiches (§6quater).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672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25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(25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672 cas de test automatisés.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(§9.3.5). Corridors et zones décrits sur le plan à l'échelle (§4.2ter),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43.0,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 BLOCAGE : c'est un comportement FAIL-CLOSED (et non fail-open), à vérifier jusqu'au point d'émission. AUDIT FORMEL BLOQUANT (le moteur natif, les conversions YUV, les tableaux retournés et la gestion mémoire font partie du chemin de données de sécurité) à mener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10ter.4bis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Il prouve que le drone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672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CORRECTION (audit) : le watchdog de cycle actuel bat ET vérifie dans le MÊME fil — un gel de ce fil n'est donc PAS détecté. C'est une EXIGENCE BLOQUANTE (REQ-WDG-001), pas une amélioration future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(§6ter : HAZ-44, HAZ-19, HAZ-39, HAZ-40) et pour les dangers MOYENS (§6quater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(v44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