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synthétique pour dépôt : ~70 %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propre des sous-sections (4.2bis/ter/quater/quinquies → 4.2.1/2/3/4 ; 6ter/quater → 6.4/6.5 ; 4.0bis/ter/quater → 4.0.2/3/4), renvois mis à jour.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+ 672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672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(§4.2.2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(§4.2.3 ; hypothèses non démontrées : décélération, latence, persistance, reprise, dérive) + plan à l'échelle (§4.2.2)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(§4.2.1/§4.2.3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§4.2.2)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4.2.3 Buffer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4.2.2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§4.2.3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§4.2.3 ; le schéma dessiné indique 15 m et est à corriger au relevé)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§4.2.3)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§4.2.2).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(§4.2.3).</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(§4.2.2). C'est cette position, combinée au géorepérage logiciel et au buffer, qui assure le confinement du drone. La position exacte est confirmée au repérage du site ; les seuils de confinement (buffer ≥ 16,2 m à vMax 2 m/s) sont fixés au §4.2.3.</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672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(§9.3.5). Corridors et zones décrits sur le plan à l'échelle (§4.2.2),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43.0,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pas une amélioration future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fiches d'essai en vol (Annexe B), l'autorisation NAV Drone et les pièces administratives ne sont pas complétées, ce dossier reste une ÉBAUCHE non déposable, quelles que soient les signatures.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(v46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