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52.0 — Événement annoncé (version maître — corrections D01-D06 de l'analyse v51) — 2026-07-20</w:t>
      </w:r>
    </w:p>
    <w:p>
      <w:pPr>
        <w:spacing w:after="40"/>
        <w:jc w:val="center"/>
      </w:pPr>
      <w:r>
        <w:rPr>
          <w:rFonts w:ascii="Calibri" w:cs="Calibri" w:eastAsia="Calibri" w:hAnsi="Calibri"/>
          <w:sz w:val="20"/>
          <w:szCs w:val="20"/>
        </w:rPr>
        <w:t xml:space="preserve">Exploitant : CineFlight ‹dénomination légale à confirmer› · Pilote resp. : ‹NOM de la personne à désigner›</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À CONFIRMER PAR L'EXPLOITANT :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La configuration PRÉVUE place le volume de vol À CÔTÉ du terrain et INTERDIT le survol de personnes — cette séparation reste à confirmer par le relevé et le plan opérationnel final. Baseline demandée : altitude automatisée seule, vitesse verticale ≤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une valeur logicielle positive conforme au contrat de commande — le mouvement physique correspondant reste à confirmer en vol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696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NEUF procédures d'urgence numérotées (§9.3.1 à §9.3.9), complétées par une section d'autorité et de communications (§9.3.10),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SÉQUENCE : AVANT le dépôt SFOC, joindre l'analyse d'espace aérien (cartes, coordonnées, volume) et la méthode prévue d'obtention des autorisations. APRÈS délivrance du SFOC et avant chaque opération : créer l'opération dans NAV Drone sous la catégorie appropriée, satisfaire les tâches de permission générées et conserver le RPAS Operation Summary accepté, lorsqu'applicable. Aucun statut d'autorisation n'est présumé.</w:t>
      </w:r>
    </w:p>
    <w:p>
      <w:pPr>
        <w:pStyle w:val="ListParagraph"/>
        <w:numPr>
          <w:ilvl w:val="0"/>
          <w:numId w:val="1"/>
        </w:numPr>
        <w:spacing w:after="40" w:line="264"/>
      </w:pPr>
      <w:r>
        <w:rPr>
          <w:rFonts w:ascii="Calibri" w:cs="Calibri" w:eastAsia="Calibri" w:hAnsi="Calibri"/>
          <w:sz w:val="21"/>
          <w:szCs w:val="21"/>
        </w:rPr>
        <w:t xml:space="preserve">Pièces administratives : l'événement est annoncé au public ; le périmètre officiel de l'événement sera cartographié. La demande retient PROVISOIREMENT le scénario SFOC conservateur ; le fondement « événement annoncé » sera confirmé lorsque la distance minimale entre le volume de vol et les limites de l'événement aura été établie (critère officiel : vol à moins de 30 m des limites).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NOTE : la version, la date, le commit et le hash APK sont pilotés depuis CE tableau (source documentaire unique) ; toute divergence ailleurs dans le dossier est une erreur à corriger. Le dossier deviendra DÉPOSABLE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TROIS blocages critiques restent OUVERTS (comportement Virtual Stick inconnu — E-03 au banc ; watchdog non indépendant ; confinement non démontré) ; un seul suffit à rendre l'opération non prête. RÉSOLU en v51 : le blocage logiciel obstacleGateAllows a été levé PROPREMENT — condition RETIRÉE du chemin de la baseline altitude (pas un false→true), preuve d'indépendance du bit sur les 512 combinaisons, suite complète re-exécutée (696 tests, 0 échec). L'émission RÉELLE sur l'aéronef demeure NON démontrée (SOCCER_2D_REAL_ENABLED=false ; E-03 requis). Voir le tableau détaillé au §0. Les blocs logiciels, l'argument de sécurité, les procédures et le confinement sont les plus avancés (statuts détaillés au tableau du §0 — aucun pourcentage de maturité n'est utilisé)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CF-SC-SOCCER-001 ‹numéro à confirmer par l'exploitant›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 NOTE : la version, la date, le commit et le hash APK sont pilotés depuis CE tableau (source documentaire unique) ; toute divergence ailleurs dans le dossier est une erreur à corriger.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 modifications v51 NON COMMISES (retrait obstacleGate de la baseline altitude — COMMIT REQUIS, hash à consigner ici)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1.0–41.0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Élaboration progressive (architecture, risques, essais, barrières, ALARP, CONOPS). Détail complet : voir le FICHIER SÉPARÉ « Historique_Versions_CineFlight.docx » (archive de traçabilité, versions 1.0 à 51.0).</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§4.2.1 à §4.2.4 sans doublon, chiffres de couverture cohérents.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3-4 : (cohérence) nombre de tests unifié à 689 (278 = rapport historique superseded), version résiduelle 27→43, APK debug→RELEASE requis, 'baseline certifié'→'configuration figée (SFOC)'. (ALARP/procédures) FMEA synchronisée (SafetyLimits créée, E-09 validé sol, Emission2DGuard 25 cas), chute de tension reclassée (non gérable par failsafe), seuil batterie 40%=interruption (pas décollage), météo 25 op/28 essai clarifiée, personnel = NOM de personne (pas 'CineFlight'), intrusion = corridor précis par site.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RESTRUCTURATION + ANNEXES : renumérotation PARTIELLE des sous-sections (4.2bis/ter/quater/quinquies → 4.2.1/2/3/4 ; anciennes fiches 6ter/quater → 6.4/6.5 ; 4.0bis/ter/quater → 4.0.2/3/4), renvois mis à jour ; les identifiants 6bis, 6ter, 10ter et 10quater subsistent comme identifiants stables (renumérotation NON terminée). Les 6 pièces annexes (rapport d'essais, fiches d'essai en vol, exercice d'intrusion, couverture des tests, 2 lettres) regroupées dans un RECUEIL DES ANNEXES séparé (A-F). Versions intermédiaires v2-v43 archivées (dossier _archives_versions).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EN FORME (demandes) : ordre chronologique de l'historique corrigé (42-47 croissant) ; bloc de signatures en fin de dossier (Approbation finale) ; colonne des pourcentages retirée du tableau d'avancement (remplacée par 'Nature du reste') ; nouveau plan de confinement conforme (buffer 16,2 m, nord, cotations, échelle) ; notes 'À VÉRIFIER/RÉVISER' converties en 'ÉLÉMENT À FOURNIR PAR L'EXPLOITANT' — les anciennes notes « À VÉRIFIER » sont regroupées sous « ÉLÉMENT À FOURNIR PAR L'EXPLOITANT » ; plusieurs données et preuves demeurent OUVERTES et à compléter avant dépôt.</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48.0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v47 APPLIQUÉ : résidus watchdog/hover/672 corrigés dans tout le corps ; état d'avancement rendu non chiffré (ébauche, blocages ouverts) ; buffer requalifié partout VALEUR PROVISOIRE ; émission réelle distinguée du chemin logique testé ; §4.2 et §9.3 réordonnés ; tableau admin microdrone corrigé. DÉFAUT documentaire : la page de titre et le tableau de contrôle étaient restés à 47.0 (corrigé en v49).</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50.0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v49 APPLIQUÉ (nettoyage de cohérence) : paragraphe watchdog contradictoire SUPPRIMÉ (texte unique — exigence bloquante, plus de « sûr » ni « amélioration recommandée ») ; fondement événement annoncé HARMONISÉ partout (périmètre cartographié + critère 30 m, scénario conservateur PROVISOIRE — p7/p10) ; NAV Drone = condition de VOL, non de dépôt (p26/p77 corrigées) ; Emission2DGuard 13→25 corrigé (p23 + GSN G1.2) ; rapport JUnit historique 278 DÉPLACÉ EN ANNEXE, §7.4→§7.3 ; preuves RÉELLES jointes (archive Preuves_Tests_Logiciels : 71 rapports JUnit XML + HTML + JaCoCo) ; « Argument de marge », « BUFFER TOTAL ROBUSTE », « LA PLUS pessimiste », « très conservateur » SUPPRIMÉS → BUFFER PROVISOIRE CALCULÉ, tous les termes non mesurés provisoires, la mesure peut confirmer/réduire/AUGMENTER ; §4.2.4 requalifié DÉPISTAGE LATÉRAL PRÉLIMINAIRE (OK → LATÉRAL POSSIBLE — analyse complète requise) ; 10 renvois confinement §4.3→§4.2 corrigés ; décompte procédures corrigé (NEUF d'urgence §9.3.1-9.3.9 + autorité §9.3.10) ; contrats position/altitude renseignés avec les clés MSDK RÉELLES du code (KeyAircraftLocation3D ; KeyAltitude = altitude RELATIVE au décollage, PAS l'AGL) — champs mesurables marqués À MESURER (bloquants) ; héliports reformulés (CFS, circuits, procédure — pas de présomption par distance seule) ; page blanche §2.4 supprimée ; ordre 5.2/5.3 corrigé (renvois inclus) ; 3 en-têtes EXEMPLE convertis ; phrase cassée du résumé réparée ; parenthèse JNI corrigée.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v50 APPLIQUÉ — DÉCISIONS EXPLOITANT : baseline UNIQUE Option A (altitude automatisée seule) ; l'application CONSERVE ses deux modes de suivi (RAIL / 2D TERRAIN), déplacements horizontaux VERROUILLÉS pendant les opérations SFOC. CODE : obstacleGateAllows RETIRÉ PROPREMENT du chemin baseline altitude (paramètre horizontalMotionRequested ; gate = condition dure du seul chemin horizontal) ; preuves refaites — FlightCommandArbiterTest 29 cas (2 preuves exhaustives de 512 : horizontal 1 cas autorisé / altitude 2 cas + indépendance du bit gate), Emission2DGuardTest 26 cas ; suite complète RE-EXÉCUTÉE : 71 classes / 696 tests / 0 échec / ≈ 14,0 s. DOSSIER : blocages ramenés à TROIS (E-03 banc, watchdog indépendant, confinement démontré) ; watchdog fusionné en 3 paragraphes (fonction/limite/exigence ouverte) ; HAZ-17 corrigé (AUCUN crédit failsafe sur perte totale d'alimentation ; résiduel NON accepté avant revue) ; FMEA watchdog SCINDÉE (retard fil actif crédité / gel total NON crédité) ; NC-T2-007 harmonisé avec §5.2 (KeyAircraftLocation3D ; champs mesurables bloquants) ; plage 15-35 m requalifiée RELATIVE AU DÉCOLLAGE (AGL par relevé terrain ; 2 variables distinctes) ; position sujet = cadrage (SANS OBJET sécurité), position pilote = VLOS (ne démontre pas le confinement) ; buffer : « pire cas / majorants / typique » supprimés, MÉTHODE PAR SCÉNARIOS de défaillance introduite (maximum crédible ; somme brute = enveloppe provisoire) ; cases JaCoCo remplies (86,0/71,6/87,0/82,9 — à régénérer sur v51) ; exigences variante RELEASE + extension couverture control ; INDEX des preuves jointes (SHA-256 réel) ; 7.5→7.4 ; réglementaire : §0.1 harmonisé (30 m, provisoire), multi-opérations dans la demande initiale, espace aérien À DÉTERMINER OFFICIELLEMENT, 922.05 selon la masse, délais 30/60 j ouvrables ; HISTORIQUE COMPLET déplacé vers le fichier séparé Historique_Versions_CineFlight.docx. BLOCAGES RESTANTS : E-03, watchdog indépendant,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52.0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v51 APPLIQUÉE (corrections D01-D06 ; la v51 est validée par l'audit comme VERSION MAÎTRE de prévalidation) : D01 — numéro de formulaire non figé (formulaire officiel de la page « Événement annoncé », numéro/révision à vérifier au téléchargement + fiche de consignation numéro/révision/date/SHA-256/source) ; D02 — avancement corrigé (déterminer OFFICIELLEMENT la classe d'espace aérien et les exigences ATS/NAV Drone ; permissions lorsque requises) ; D03 — « jamais au-dessus des personnes » requalifié configuration PRÉVUE, séparation à confirmer par le relevé et le plan final ; D04 — « montée logicielle » requalifiée valeur logicielle conforme au contrat de commande (mouvement physique à confirmer) ; D05 — GSN S7 : MÉTHODE DE SÉPARATION DÉFINIE, géométrie réelle non démontrée ; D06 — classification des essais au sol précisée (matrice d'environnement : chaîne réelle, moteurs coupés, hélices retirées, preuve = commande journalisée, aucun mouvement physique). BLOCAGES RESTANTS (inchangés) : E-03 au banc, watchdog indépendant, confinement démontré.</w:t>
            </w:r>
          </w:p>
        </w:tc>
      </w:tr>
    </w:tbl>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retenu PROVISOIREMENT (scénario conservateur)</w:t>
      </w:r>
      <w:r>
        <w:rPr>
          <w:rFonts w:ascii="Calibri" w:cs="Calibri" w:eastAsia="Calibri" w:hAnsi="Calibri"/>
          <w:sz w:val="21"/>
          <w:szCs w:val="21"/>
        </w:rPr>
        <w:t xml:space="preserve"> (RAC partie IX ; exigence étendue aux microdrones depuis 2025-04-01, pour un vol à MOINS DE 30 m des limites de l'événement). Le périmètre officiel de l'événement sera cartographié ; le fondement sera confirmé lorsque la distance minimale entre le volume de vol et les limites de l'événement aura été établie.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à confirmer par l'exploitant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la chaîne réelle (APK, téléphone, RC, drone, MSDK) — moteurs coupés / hélices retirées : preuve = commande journalisée, PAS le mouvement physique final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instrText xml:space="preserve">TOC \h \o "1-2"</w:instrText>
            <w:fldChar w:fldCharType="separate"/>
          </w:r>
        </w:p>
        <w:p>
          <w:pPr>
            <w:tabs>
              <w:tab w:val="right" w:leader="dot" w:pos="9350"/>
            </w:tabs>
            <w:spacing w:after="40"/>
          </w:pPr>
          <w:r>
            <w:rPr>
              <w:rFonts w:ascii="Calibri" w:cs="Calibri" w:eastAsia="Calibri" w:hAnsi="Calibri"/>
              <w:b/>
              <w:bCs/>
              <w:sz w:val="19"/>
              <w:szCs w:val="19"/>
            </w:rPr>
            <w:t xml:space="preserve">0. Résumé exécutif</w:t>
          </w:r>
          <w:r>
            <w:tab/>
          </w:r>
          <w:r>
            <w:rPr>
              <w:sz w:val="19"/>
              <w:szCs w:val="19"/>
            </w:rPr>
            <w:t>11</w:t>
          </w:r>
        </w:p>
        <w:p>
          <w:pPr>
            <w:tabs>
              <w:tab w:val="right" w:leader="dot" w:pos="9350"/>
            </w:tabs>
            <w:spacing w:after="40"/>
            <w:ind w:left="240"/>
          </w:pPr>
          <w:r>
            <w:rPr>
              <w:rFonts w:ascii="Calibri" w:cs="Calibri" w:eastAsia="Calibri" w:hAnsi="Calibri"/>
              <w:sz w:val="19"/>
              <w:szCs w:val="19"/>
            </w:rPr>
            <w:t xml:space="preserve">0.1 Cadre réglementaire (synthèse) — quatre analyses distinctes</w:t>
          </w:r>
          <w:r>
            <w:tab/>
          </w:r>
          <w:r>
            <w:rPr>
              <w:sz w:val="19"/>
              <w:szCs w:val="19"/>
            </w:rPr>
            <w:t>11</w:t>
          </w:r>
        </w:p>
        <w:p>
          <w:pPr>
            <w:tabs>
              <w:tab w:val="right" w:leader="dot" w:pos="9350"/>
            </w:tabs>
            <w:spacing w:after="40"/>
            <w:ind w:left="240"/>
          </w:pPr>
          <w:r>
            <w:rPr>
              <w:rFonts w:ascii="Calibri" w:cs="Calibri" w:eastAsia="Calibri" w:hAnsi="Calibri"/>
              <w:sz w:val="19"/>
              <w:szCs w:val="19"/>
            </w:rPr>
            <w:t xml:space="preserve">0.2 État d'avancement (auto-évaluation prudente)</w:t>
          </w:r>
          <w:r>
            <w:tab/>
          </w:r>
          <w:r>
            <w:rPr>
              <w:sz w:val="19"/>
              <w:szCs w:val="19"/>
            </w:rPr>
            <w:t>12</w:t>
          </w:r>
        </w:p>
        <w:p>
          <w:pPr>
            <w:tabs>
              <w:tab w:val="right" w:leader="dot" w:pos="9350"/>
            </w:tabs>
            <w:spacing w:after="40"/>
          </w:pPr>
          <w:r>
            <w:rPr>
              <w:rFonts w:ascii="Calibri" w:cs="Calibri" w:eastAsia="Calibri" w:hAnsi="Calibri"/>
              <w:b/>
              <w:bCs/>
              <w:sz w:val="19"/>
              <w:szCs w:val="19"/>
            </w:rPr>
            <w:t xml:space="preserve">1. Argument de sécurité (Safety Argument)</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1.1 Objectif de sécurité principal (G0)</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1.2 Décomposition en stratégies, preuves et STATUT</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1.3 Hypothèses et limites de l'argument</w:t>
          </w:r>
          <w:r>
            <w:tab/>
          </w:r>
          <w:r>
            <w:rPr>
              <w:sz w:val="19"/>
              <w:szCs w:val="19"/>
            </w:rPr>
            <w:t>15</w:t>
          </w:r>
        </w:p>
        <w:p>
          <w:pPr>
            <w:tabs>
              <w:tab w:val="right" w:leader="dot" w:pos="9350"/>
            </w:tabs>
            <w:spacing w:after="40"/>
          </w:pPr>
          <w:r>
            <w:rPr>
              <w:rFonts w:ascii="Calibri" w:cs="Calibri" w:eastAsia="Calibri" w:hAnsi="Calibri"/>
              <w:b/>
              <w:bCs/>
              <w:sz w:val="19"/>
              <w:szCs w:val="19"/>
            </w:rPr>
            <w:t xml:space="preserve">2. Architecture du système</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2.0 Qu'est-ce que YOLO ? (pour lecteurs non spécialistes)</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2.1 Chaîne de commande</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2.2 Logique de décision de l'arbitre (fail-closed)</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2.3 Architecture d'exécution (fils / threads)</w:t>
          </w:r>
          <w:r>
            <w:tab/>
          </w:r>
          <w:r>
            <w:rPr>
              <w:sz w:val="19"/>
              <w:szCs w:val="19"/>
            </w:rPr>
            <w:t>19</w:t>
          </w:r>
        </w:p>
        <w:p>
          <w:pPr>
            <w:tabs>
              <w:tab w:val="right" w:leader="dot" w:pos="9350"/>
            </w:tabs>
            <w:spacing w:after="40"/>
            <w:ind w:left="240"/>
          </w:pPr>
          <w:r>
            <w:rPr>
              <w:rFonts w:ascii="Calibri" w:cs="Calibri" w:eastAsia="Calibri" w:hAnsi="Calibri"/>
              <w:sz w:val="19"/>
              <w:szCs w:val="19"/>
            </w:rPr>
            <w:t xml:space="preserve">2.4 Chronologie d'une image (latence)</w:t>
          </w:r>
          <w:r>
            <w:tab/>
          </w:r>
          <w:r>
            <w:rPr>
              <w:sz w:val="19"/>
              <w:szCs w:val="19"/>
            </w:rPr>
            <w:t>19</w:t>
          </w:r>
        </w:p>
        <w:p>
          <w:pPr>
            <w:tabs>
              <w:tab w:val="right" w:leader="dot" w:pos="9350"/>
            </w:tabs>
            <w:spacing w:after="40"/>
            <w:ind w:left="240"/>
          </w:pPr>
          <w:r>
            <w:rPr>
              <w:rFonts w:ascii="Calibri" w:cs="Calibri" w:eastAsia="Calibri" w:hAnsi="Calibri"/>
              <w:sz w:val="19"/>
              <w:szCs w:val="19"/>
            </w:rPr>
            <w:t xml:space="preserve">2.5 Moniteur de sécurité (Safety Monitor)</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2.6 Cybersécurité et sécurité de l'information</w:t>
          </w:r>
          <w:r>
            <w:tab/>
          </w:r>
          <w:r>
            <w:rPr>
              <w:sz w:val="19"/>
              <w:szCs w:val="19"/>
            </w:rPr>
            <w:t>21</w:t>
          </w:r>
        </w:p>
        <w:p>
          <w:pPr>
            <w:tabs>
              <w:tab w:val="right" w:leader="dot" w:pos="9350"/>
            </w:tabs>
            <w:spacing w:after="40"/>
          </w:pPr>
          <w:r>
            <w:rPr>
              <w:rFonts w:ascii="Calibri" w:cs="Calibri" w:eastAsia="Calibri" w:hAnsi="Calibri"/>
              <w:b/>
              <w:bCs/>
              <w:sz w:val="19"/>
              <w:szCs w:val="19"/>
            </w:rPr>
            <w:t xml:space="preserve">3. Analyse fonctionnelle des modules</w:t>
          </w:r>
          <w:r>
            <w:tab/>
          </w:r>
          <w:r>
            <w:rPr>
              <w:sz w:val="19"/>
              <w:szCs w:val="19"/>
            </w:rPr>
            <w:t>22</w:t>
          </w:r>
        </w:p>
        <w:p>
          <w:pPr>
            <w:tabs>
              <w:tab w:val="right" w:leader="dot" w:pos="9350"/>
            </w:tabs>
            <w:spacing w:after="40"/>
            <w:ind w:left="240"/>
          </w:pPr>
          <w:r>
            <w:rPr>
              <w:rFonts w:ascii="Calibri" w:cs="Calibri" w:eastAsia="Calibri" w:hAnsi="Calibri"/>
              <w:sz w:val="19"/>
              <w:szCs w:val="19"/>
            </w:rPr>
            <w:t xml:space="preserve">3.1 SafetySnapshot : 11 champs, 9 conditions décisionnelles</w:t>
          </w:r>
          <w:r>
            <w:tab/>
          </w:r>
          <w:r>
            <w:rPr>
              <w:sz w:val="19"/>
              <w:szCs w:val="19"/>
            </w:rPr>
            <w:t>23</w:t>
          </w:r>
        </w:p>
        <w:p>
          <w:pPr>
            <w:tabs>
              <w:tab w:val="right" w:leader="dot" w:pos="9350"/>
            </w:tabs>
            <w:spacing w:after="40"/>
            <w:ind w:left="240"/>
          </w:pPr>
          <w:r>
            <w:rPr>
              <w:rFonts w:ascii="Calibri" w:cs="Calibri" w:eastAsia="Calibri" w:hAnsi="Calibri"/>
              <w:sz w:val="19"/>
              <w:szCs w:val="19"/>
            </w:rPr>
            <w:t xml:space="preserve">3.2 Cohérence des données inter-fils (snapshot atomique) — IMPLÉMENTÉ (v16)</w:t>
          </w:r>
          <w:r>
            <w:tab/>
          </w:r>
          <w:r>
            <w:rPr>
              <w:sz w:val="19"/>
              <w:szCs w:val="19"/>
            </w:rPr>
            <w:t>24</w:t>
          </w:r>
        </w:p>
        <w:p>
          <w:pPr>
            <w:tabs>
              <w:tab w:val="right" w:leader="dot" w:pos="9350"/>
            </w:tabs>
            <w:spacing w:after="40"/>
            <w:ind w:left="240"/>
          </w:pPr>
          <w:r>
            <w:rPr>
              <w:rFonts w:ascii="Calibri" w:cs="Calibri" w:eastAsia="Calibri" w:hAnsi="Calibri"/>
              <w:sz w:val="19"/>
              <w:szCs w:val="19"/>
            </w:rPr>
            <w:t xml:space="preserve">3.3 Priorité pilote et comportement après cessation des commandes (à démontrer)</w:t>
          </w:r>
          <w:r>
            <w:tab/>
          </w:r>
          <w:r>
            <w:rPr>
              <w:sz w:val="19"/>
              <w:szCs w:val="19"/>
            </w:rPr>
            <w:t>24</w:t>
          </w:r>
        </w:p>
        <w:p>
          <w:pPr>
            <w:tabs>
              <w:tab w:val="right" w:leader="dot" w:pos="9350"/>
            </w:tabs>
            <w:spacing w:after="40"/>
          </w:pPr>
          <w:r>
            <w:rPr>
              <w:rFonts w:ascii="Calibri" w:cs="Calibri" w:eastAsia="Calibri" w:hAnsi="Calibri"/>
              <w:b/>
              <w:bCs/>
              <w:sz w:val="19"/>
              <w:szCs w:val="19"/>
            </w:rPr>
            <w:t xml:space="preserve">4. Concept d'opérations (CONOPS)</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 Fiche opérationnelle (résumé de la demande) — NC-001</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4.0.2 Paramètres détaillés de l'opération</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4.0.3 Site réel de l'opération (renseigné 2026-07-20)</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4.0.4 Espace aérien — à confirmer par NAV Drone (POINT CRITIQUE)</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4.1 Délimitation du terrain par l'application Web (géorepérage)</w:t>
          </w:r>
          <w:r>
            <w:tab/>
          </w:r>
          <w:r>
            <w:rPr>
              <w:sz w:val="19"/>
              <w:szCs w:val="19"/>
            </w:rPr>
            <w:t>28</w:t>
          </w:r>
        </w:p>
        <w:p>
          <w:pPr>
            <w:tabs>
              <w:tab w:val="right" w:leader="dot" w:pos="9350"/>
            </w:tabs>
            <w:spacing w:after="40"/>
            <w:ind w:left="240"/>
          </w:pPr>
          <w:r>
            <w:rPr>
              <w:rFonts w:ascii="Calibri" w:cs="Calibri" w:eastAsia="Calibri" w:hAnsi="Calibri"/>
              <w:sz w:val="19"/>
              <w:szCs w:val="19"/>
            </w:rPr>
            <w:t xml:space="preserve">4.2 Confinement physique quantifié (buffer de contingence)</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4.2.1 Calcul chiffré du buffer de contingence (2026-07-20)</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4.2.2 Buffer à vMax verrouillé 2 m/s (renforcement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4.2.3 Plan à l'échelle du confinement (schéma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4.2.4 Analyse géométrique du site vs buffer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4.3 Espace aérien et site</w:t>
          </w:r>
          <w:r>
            <w:tab/>
          </w:r>
          <w:r>
            <w:rPr>
              <w:sz w:val="19"/>
              <w:szCs w:val="19"/>
            </w:rPr>
            <w:t>33</w:t>
          </w:r>
        </w:p>
        <w:p>
          <w:pPr>
            <w:tabs>
              <w:tab w:val="right" w:leader="dot" w:pos="9350"/>
            </w:tabs>
            <w:spacing w:after="40"/>
            <w:ind w:left="240"/>
          </w:pPr>
          <w:r>
            <w:rPr>
              <w:rFonts w:ascii="Calibri" w:cs="Calibri" w:eastAsia="Calibri" w:hAnsi="Calibri"/>
              <w:sz w:val="19"/>
              <w:szCs w:val="19"/>
            </w:rPr>
            <w:t xml:space="preserve">4.4 Spécification de la porte de validation pré-vol (go/no-go)</w:t>
          </w:r>
          <w:r>
            <w:tab/>
          </w:r>
          <w:r>
            <w:rPr>
              <w:sz w:val="19"/>
              <w:szCs w:val="19"/>
            </w:rPr>
            <w:t>34</w:t>
          </w:r>
        </w:p>
        <w:p>
          <w:pPr>
            <w:tabs>
              <w:tab w:val="right" w:leader="dot" w:pos="9350"/>
            </w:tabs>
            <w:spacing w:after="40"/>
          </w:pPr>
          <w:r>
            <w:rPr>
              <w:rFonts w:ascii="Calibri" w:cs="Calibri" w:eastAsia="Calibri" w:hAnsi="Calibri"/>
              <w:b/>
              <w:bCs/>
              <w:sz w:val="19"/>
              <w:szCs w:val="19"/>
            </w:rPr>
            <w:t xml:space="preserve">5. Personnes et admissibilité du RPAS</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5.1 Classification des personnes (hypothèse conservatrice)</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5.2 Sources de position et critères RTK (par donnée)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5.3 Admissibilité du drone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5.4 Rôles, responsabilités et autorités (NC-004)</w:t>
          </w:r>
          <w:r>
            <w:tab/>
          </w:r>
          <w:r>
            <w:rPr>
              <w:sz w:val="19"/>
              <w:szCs w:val="19"/>
            </w:rPr>
            <w:t>39</w:t>
          </w:r>
        </w:p>
        <w:p>
          <w:pPr>
            <w:tabs>
              <w:tab w:val="right" w:leader="dot" w:pos="9350"/>
            </w:tabs>
            <w:spacing w:after="40"/>
            <w:ind w:left="240"/>
          </w:pPr>
          <w:r>
            <w:rPr>
              <w:rFonts w:ascii="Calibri" w:cs="Calibri" w:eastAsia="Calibri" w:hAnsi="Calibri"/>
              <w:sz w:val="19"/>
              <w:szCs w:val="19"/>
            </w:rPr>
            <w:t xml:space="preserve">5.5 Suivi des autorisations (NC-006)</w:t>
          </w:r>
          <w:r>
            <w:tab/>
          </w:r>
          <w:r>
            <w:rPr>
              <w:sz w:val="19"/>
              <w:szCs w:val="19"/>
            </w:rPr>
            <w:t>39</w:t>
          </w:r>
        </w:p>
        <w:p>
          <w:pPr>
            <w:tabs>
              <w:tab w:val="right" w:leader="dot" w:pos="9350"/>
            </w:tabs>
            <w:spacing w:after="40"/>
            <w:ind w:left="240"/>
          </w:pPr>
          <w:r>
            <w:rPr>
              <w:rFonts w:ascii="Calibri" w:cs="Calibri" w:eastAsia="Calibri" w:hAnsi="Calibri"/>
              <w:sz w:val="19"/>
              <w:szCs w:val="19"/>
            </w:rPr>
            <w:t xml:space="preserve">5.6 Assurance (NC-007)</w:t>
          </w:r>
          <w:r>
            <w:tab/>
          </w:r>
          <w:r>
            <w:rPr>
              <w:sz w:val="19"/>
              <w:szCs w:val="19"/>
            </w:rPr>
            <w:t>39</w:t>
          </w:r>
        </w:p>
        <w:p>
          <w:pPr>
            <w:tabs>
              <w:tab w:val="right" w:leader="dot" w:pos="9350"/>
            </w:tabs>
            <w:spacing w:after="40"/>
          </w:pPr>
          <w:r>
            <w:rPr>
              <w:rFonts w:ascii="Calibri" w:cs="Calibri" w:eastAsia="Calibri" w:hAnsi="Calibri"/>
              <w:b/>
              <w:bCs/>
              <w:sz w:val="19"/>
              <w:szCs w:val="19"/>
            </w:rPr>
            <w:t xml:space="preserve">6. Registre des risques étendu</w:t>
          </w:r>
          <w:r>
            <w:tab/>
          </w:r>
          <w:r>
            <w:rPr>
              <w:sz w:val="19"/>
              <w:szCs w:val="19"/>
            </w:rPr>
            <w:t>41</w:t>
          </w:r>
        </w:p>
        <w:p>
          <w:pPr>
            <w:tabs>
              <w:tab w:val="right" w:leader="dot" w:pos="9350"/>
            </w:tabs>
            <w:spacing w:after="40"/>
            <w:ind w:left="240"/>
          </w:pPr>
          <w:r>
            <w:rPr>
              <w:rFonts w:ascii="Calibri" w:cs="Calibri" w:eastAsia="Calibri" w:hAnsi="Calibri"/>
              <w:sz w:val="19"/>
              <w:szCs w:val="19"/>
            </w:rPr>
            <w:t xml:space="preserve">6.0 Matrice d'acceptation et démarche ALARP</w:t>
          </w:r>
          <w:r>
            <w:tab/>
          </w:r>
          <w:r>
            <w:rPr>
              <w:sz w:val="19"/>
              <w:szCs w:val="19"/>
            </w:rPr>
            <w:t>41</w:t>
          </w:r>
        </w:p>
        <w:p>
          <w:pPr>
            <w:tabs>
              <w:tab w:val="right" w:leader="dot" w:pos="9350"/>
            </w:tabs>
            <w:spacing w:after="40"/>
            <w:ind w:left="240"/>
          </w:pPr>
          <w:r>
            <w:rPr>
              <w:rFonts w:ascii="Calibri" w:cs="Calibri" w:eastAsia="Calibri" w:hAnsi="Calibri"/>
              <w:sz w:val="19"/>
              <w:szCs w:val="19"/>
            </w:rPr>
            <w:t xml:space="preserve">6.4 Fiches ALARP des dangers ÉLEVÉS (finalisation 2026-07-20)</w:t>
          </w:r>
          <w:r>
            <w:tab/>
          </w:r>
          <w:r>
            <w:rPr>
              <w:sz w:val="19"/>
              <w:szCs w:val="19"/>
            </w:rPr>
            <w:t>45</w:t>
          </w:r>
        </w:p>
        <w:p>
          <w:pPr>
            <w:tabs>
              <w:tab w:val="right" w:leader="dot" w:pos="9350"/>
            </w:tabs>
            <w:spacing w:after="40"/>
            <w:ind w:left="240"/>
          </w:pPr>
          <w:r>
            <w:rPr>
              <w:rFonts w:ascii="Calibri" w:cs="Calibri" w:eastAsia="Calibri" w:hAnsi="Calibri"/>
              <w:sz w:val="19"/>
              <w:szCs w:val="19"/>
            </w:rPr>
            <w:t xml:space="preserve">6.5 Mini-fiches ALARP des dangers MOYENS (5-9)</w:t>
          </w:r>
          <w:r>
            <w:tab/>
          </w:r>
          <w:r>
            <w:rPr>
              <w:sz w:val="19"/>
              <w:szCs w:val="19"/>
            </w:rPr>
            <w:t>46</w:t>
          </w:r>
        </w:p>
        <w:p>
          <w:pPr>
            <w:tabs>
              <w:tab w:val="right" w:leader="dot" w:pos="9350"/>
            </w:tabs>
            <w:spacing w:after="40"/>
          </w:pPr>
          <w:r>
            <w:rPr>
              <w:rFonts w:ascii="Calibri" w:cs="Calibri" w:eastAsia="Calibri" w:hAnsi="Calibri"/>
              <w:b/>
              <w:bCs/>
              <w:sz w:val="19"/>
              <w:szCs w:val="19"/>
            </w:rPr>
            <w:t xml:space="preserve">6bis. Analyse des modes de défaillance (FMEA) étendue</w:t>
          </w:r>
          <w:r>
            <w:tab/>
          </w:r>
          <w:r>
            <w:rPr>
              <w:sz w:val="19"/>
              <w:szCs w:val="19"/>
            </w:rPr>
            <w:t>47</w:t>
          </w:r>
        </w:p>
        <w:p>
          <w:pPr>
            <w:tabs>
              <w:tab w:val="right" w:leader="dot" w:pos="9350"/>
            </w:tabs>
            <w:spacing w:after="40"/>
          </w:pPr>
          <w:r>
            <w:rPr>
              <w:rFonts w:ascii="Calibri" w:cs="Calibri" w:eastAsia="Calibri" w:hAnsi="Calibri"/>
              <w:b/>
              <w:bCs/>
              <w:sz w:val="19"/>
              <w:szCs w:val="19"/>
            </w:rPr>
            <w:t xml:space="preserve">6ter. Matrice de traçabilité</w:t>
          </w:r>
          <w:r>
            <w:tab/>
          </w:r>
          <w:r>
            <w:rPr>
              <w:sz w:val="19"/>
              <w:szCs w:val="19"/>
            </w:rPr>
            <w:t>49</w:t>
          </w:r>
        </w:p>
        <w:p>
          <w:pPr>
            <w:tabs>
              <w:tab w:val="right" w:leader="dot" w:pos="9350"/>
            </w:tabs>
            <w:spacing w:after="40"/>
          </w:pPr>
          <w:r>
            <w:rPr>
              <w:rFonts w:ascii="Calibri" w:cs="Calibri" w:eastAsia="Calibri" w:hAnsi="Calibri"/>
              <w:b/>
              <w:bCs/>
              <w:sz w:val="19"/>
              <w:szCs w:val="19"/>
            </w:rPr>
            <w:t xml:space="preserve">7. Preuves logicielles (résultats réels)</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7.1 Manifeste des preuves logicielles (exécution réelle)</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7.2 Preuves de sécurité clés</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7.3 Couverture de code (JaCoCo)</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7.4 Sécurité de l'information (état actuel)</w:t>
          </w:r>
          <w:r>
            <w:tab/>
          </w:r>
          <w:r>
            <w:rPr>
              <w:sz w:val="19"/>
              <w:szCs w:val="19"/>
            </w:rPr>
            <w:t>53</w:t>
          </w:r>
        </w:p>
        <w:p>
          <w:pPr>
            <w:tabs>
              <w:tab w:val="right" w:leader="dot" w:pos="9350"/>
            </w:tabs>
            <w:spacing w:after="40"/>
          </w:pPr>
          <w:r>
            <w:rPr>
              <w:rFonts w:ascii="Calibri" w:cs="Calibri" w:eastAsia="Calibri" w:hAnsi="Calibri"/>
              <w:b/>
              <w:bCs/>
              <w:sz w:val="19"/>
              <w:szCs w:val="19"/>
            </w:rPr>
            <w:t xml:space="preserve">8. Plan d'essais terrain et mesures quantitatives</w:t>
          </w:r>
          <w:r>
            <w:tab/>
          </w:r>
          <w:r>
            <w:rPr>
              <w:sz w:val="19"/>
              <w:szCs w:val="19"/>
            </w:rPr>
            <w:t>54</w:t>
          </w:r>
        </w:p>
        <w:p>
          <w:pPr>
            <w:tabs>
              <w:tab w:val="right" w:leader="dot" w:pos="9350"/>
            </w:tabs>
            <w:spacing w:after="40"/>
            <w:ind w:left="240"/>
          </w:pPr>
          <w:r>
            <w:rPr>
              <w:rFonts w:ascii="Calibri" w:cs="Calibri" w:eastAsia="Calibri" w:hAnsi="Calibri"/>
              <w:sz w:val="19"/>
              <w:szCs w:val="19"/>
            </w:rPr>
            <w:t xml:space="preserve">8.1 Essais matériels et terrain (critères réussite/échec)</w:t>
          </w:r>
          <w:r>
            <w:tab/>
          </w:r>
          <w:r>
            <w:rPr>
              <w:sz w:val="19"/>
              <w:szCs w:val="19"/>
            </w:rPr>
            <w:t>54</w:t>
          </w:r>
        </w:p>
        <w:p>
          <w:pPr>
            <w:tabs>
              <w:tab w:val="right" w:leader="dot" w:pos="9350"/>
            </w:tabs>
            <w:spacing w:after="40"/>
            <w:ind w:left="240"/>
          </w:pPr>
          <w:r>
            <w:rPr>
              <w:rFonts w:ascii="Calibri" w:cs="Calibri" w:eastAsia="Calibri" w:hAnsi="Calibri"/>
              <w:sz w:val="19"/>
              <w:szCs w:val="19"/>
            </w:rPr>
            <w:t xml:space="preserve">8.2 Mesures quantitatives à réaliser (gabarit)</w:t>
          </w:r>
          <w:r>
            <w:tab/>
          </w:r>
          <w:r>
            <w:rPr>
              <w:sz w:val="19"/>
              <w:szCs w:val="19"/>
            </w:rPr>
            <w:t>54</w:t>
          </w:r>
        </w:p>
        <w:p>
          <w:pPr>
            <w:tabs>
              <w:tab w:val="right" w:leader="dot" w:pos="9350"/>
            </w:tabs>
            <w:spacing w:after="40"/>
          </w:pPr>
          <w:r>
            <w:rPr>
              <w:rFonts w:ascii="Calibri" w:cs="Calibri" w:eastAsia="Calibri" w:hAnsi="Calibri"/>
              <w:b/>
              <w:bCs/>
              <w:sz w:val="19"/>
              <w:szCs w:val="19"/>
            </w:rPr>
            <w:t xml:space="preserve">9. Procédures opérationnelles</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9.1 Avant le vol</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9.2 Pendant le vol</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9.3 Procédures d'urgence (étapes numérotées)</w:t>
          </w:r>
          <w:r>
            <w:tab/>
          </w:r>
          <w:r>
            <w:rPr>
              <w:sz w:val="19"/>
              <w:szCs w:val="19"/>
            </w:rPr>
            <w:t>56</w:t>
          </w:r>
        </w:p>
        <w:p>
          <w:pPr>
            <w:tabs>
              <w:tab w:val="right" w:leader="dot" w:pos="9350"/>
            </w:tabs>
            <w:spacing w:after="40"/>
          </w:pPr>
          <w:r>
            <w:rPr>
              <w:rFonts w:ascii="Calibri" w:cs="Calibri" w:eastAsia="Calibri" w:hAnsi="Calibri"/>
              <w:b/>
              <w:bCs/>
              <w:sz w:val="19"/>
              <w:szCs w:val="19"/>
            </w:rPr>
            <w:t xml:space="preserve">10. Pièces administratives (check-list de dépôt)</w:t>
          </w:r>
          <w:r>
            <w:tab/>
          </w:r>
          <w:r>
            <w:rPr>
              <w:sz w:val="19"/>
              <w:szCs w:val="19"/>
            </w:rPr>
            <w:t>59</w:t>
          </w:r>
        </w:p>
        <w:p>
          <w:pPr>
            <w:tabs>
              <w:tab w:val="right" w:leader="dot" w:pos="9350"/>
            </w:tabs>
            <w:spacing w:after="40"/>
            <w:ind w:left="240"/>
          </w:pPr>
          <w:r>
            <w:rPr>
              <w:rFonts w:ascii="Calibri" w:cs="Calibri" w:eastAsia="Calibri" w:hAnsi="Calibri"/>
              <w:sz w:val="19"/>
              <w:szCs w:val="19"/>
            </w:rPr>
            <w:t xml:space="preserve">10.1 Deux rapports distincts</w:t>
          </w:r>
          <w:r>
            <w:tab/>
          </w:r>
          <w:r>
            <w:rPr>
              <w:sz w:val="19"/>
              <w:szCs w:val="19"/>
            </w:rPr>
            <w:t>60</w:t>
          </w:r>
        </w:p>
        <w:p>
          <w:pPr>
            <w:tabs>
              <w:tab w:val="right" w:leader="dot" w:pos="9350"/>
            </w:tabs>
            <w:spacing w:after="40"/>
          </w:pPr>
          <w:r>
            <w:rPr>
              <w:rFonts w:ascii="Calibri" w:cs="Calibri" w:eastAsia="Calibri" w:hAnsi="Calibri"/>
              <w:b/>
              <w:bCs/>
              <w:sz w:val="19"/>
              <w:szCs w:val="19"/>
            </w:rPr>
            <w:t xml:space="preserve">10bis. Glossaire et terminologie (NC-008)</w:t>
          </w:r>
          <w:r>
            <w:tab/>
          </w:r>
          <w:r>
            <w:rPr>
              <w:sz w:val="19"/>
              <w:szCs w:val="19"/>
            </w:rPr>
            <w:t>61</w:t>
          </w:r>
        </w:p>
        <w:p>
          <w:pPr>
            <w:tabs>
              <w:tab w:val="right" w:leader="dot" w:pos="9350"/>
            </w:tabs>
            <w:spacing w:after="40"/>
          </w:pPr>
          <w:r>
            <w:rPr>
              <w:rFonts w:ascii="Calibri" w:cs="Calibri" w:eastAsia="Calibri" w:hAnsi="Calibri"/>
              <w:b/>
              <w:bCs/>
              <w:sz w:val="19"/>
              <w:szCs w:val="19"/>
            </w:rPr>
            <w:t xml:space="preserve">10ter. Architecture technique — jonctions réelles (Tome 2)</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10ter.1 État des jonctions (NC-T2)</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10ter.2 Contrats de données (entrées critiques)</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10ter.3 Source unique de configuration (SafetyLimits) — NC-T2-019/022</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10ter.4 Chaîne image et intégration JNI — NC-T2-008</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10ter.4.1 Ce que garantissent les tests de sécurité (explication)</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10ter.5 Fréquence, threads et watchdog — NC-T2-005/014</w:t>
          </w:r>
          <w:r>
            <w:tab/>
          </w:r>
          <w:r>
            <w:rPr>
              <w:sz w:val="19"/>
              <w:szCs w:val="19"/>
            </w:rPr>
            <w:t>66</w:t>
          </w:r>
        </w:p>
        <w:p>
          <w:pPr>
            <w:tabs>
              <w:tab w:val="right" w:leader="dot" w:pos="9350"/>
            </w:tabs>
            <w:spacing w:after="40"/>
            <w:ind w:left="240"/>
          </w:pPr>
          <w:r>
            <w:rPr>
              <w:rFonts w:ascii="Calibri" w:cs="Calibri" w:eastAsia="Calibri" w:hAnsi="Calibri"/>
              <w:sz w:val="19"/>
              <w:szCs w:val="19"/>
            </w:rPr>
            <w:t xml:space="preserve">10ter.6 Identifiants d'exigences (extrait) — NC-T2-021</w:t>
          </w:r>
          <w:r>
            <w:tab/>
          </w:r>
          <w:r>
            <w:rPr>
              <w:sz w:val="19"/>
              <w:szCs w:val="19"/>
            </w:rPr>
            <w:t>67</w:t>
          </w:r>
        </w:p>
        <w:p>
          <w:pPr>
            <w:tabs>
              <w:tab w:val="right" w:leader="dot" w:pos="9350"/>
            </w:tabs>
            <w:spacing w:after="40"/>
          </w:pPr>
          <w:r>
            <w:rPr>
              <w:rFonts w:ascii="Calibri" w:cs="Calibri" w:eastAsia="Calibri" w:hAnsi="Calibri"/>
              <w:b/>
              <w:bCs/>
              <w:sz w:val="19"/>
              <w:szCs w:val="19"/>
            </w:rPr>
            <w:t xml:space="preserve">10quater. Safety Case formel (Tome 3)</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S.1 Objectif de sécurité G0 — statut OUVERT (NC-T3-001)</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S.2 Arbre GSN et statut par nœud (NC-T3-002)</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S.3 Hypothèses converties en exigences (NC-T3-003)</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S.4 Échelles de cotation P et G (NC-T3-004)</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S.5 Règle de crédit des barrières (NC-T3-006)</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S.6 Modèle de fiche ALARP par danger (NC-T3-005)</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S.7 Analyse des causes communes (NC-T3-010)</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S.8 Arbres de défaillance (fault trees) — NC-T3-012</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S.9 Identifiants stables et gouvernance (NC-T3-014/016/023/022)</w:t>
          </w:r>
          <w:r>
            <w:tab/>
          </w:r>
          <w:r>
            <w:rPr>
              <w:sz w:val="19"/>
              <w:szCs w:val="19"/>
            </w:rPr>
            <w:t>71</w:t>
          </w:r>
        </w:p>
        <w:p>
          <w:pPr>
            <w:tabs>
              <w:tab w:val="right" w:leader="dot" w:pos="9350"/>
            </w:tabs>
            <w:spacing w:after="40"/>
          </w:pPr>
          <w:r>
            <w:rPr>
              <w:rFonts w:ascii="Calibri" w:cs="Calibri" w:eastAsia="Calibri" w:hAnsi="Calibri"/>
              <w:b/>
              <w:bCs/>
              <w:sz w:val="19"/>
              <w:szCs w:val="19"/>
            </w:rPr>
            <w:t xml:space="preserve">11. Références réglementaires</w:t>
          </w:r>
          <w:r>
            <w:tab/>
          </w:r>
          <w:r>
            <w:rPr>
              <w:sz w:val="19"/>
              <w:szCs w:val="19"/>
            </w:rPr>
            <w:t>72</w:t>
          </w:r>
        </w:p>
        <w:p>
          <w:pPr>
            <w:tabs>
              <w:tab w:val="right" w:leader="dot" w:pos="9350"/>
            </w:tabs>
            <w:spacing w:after="40"/>
          </w:pPr>
          <w:r>
            <w:rPr>
              <w:rFonts w:ascii="Calibri" w:cs="Calibri" w:eastAsia="Calibri" w:hAnsi="Calibri"/>
              <w:b/>
              <w:bCs/>
              <w:sz w:val="19"/>
              <w:szCs w:val="19"/>
            </w:rPr>
            <w:t xml:space="preserve">12. Feuille de route de validation (blocages)</w:t>
          </w:r>
          <w:r>
            <w:tab/>
          </w:r>
          <w:r>
            <w:rPr>
              <w:sz w:val="19"/>
              <w:szCs w:val="19"/>
            </w:rPr>
            <w:t>73</w:t>
          </w:r>
        </w:p>
        <w:p>
          <w:pPr>
            <w:tabs>
              <w:tab w:val="right" w:leader="dot" w:pos="9350"/>
            </w:tabs>
            <w:spacing w:after="40"/>
            <w:ind w:left="240"/>
          </w:pPr>
          <w:r>
            <w:rPr>
              <w:rFonts w:ascii="Calibri" w:cs="Calibri" w:eastAsia="Calibri" w:hAnsi="Calibri"/>
              <w:sz w:val="19"/>
              <w:szCs w:val="19"/>
            </w:rPr>
            <w:t xml:space="preserve">12.1 Blocages AVANT toute émission réelle 2D</w:t>
          </w:r>
          <w:r>
            <w:tab/>
          </w:r>
          <w:r>
            <w:rPr>
              <w:sz w:val="19"/>
              <w:szCs w:val="19"/>
            </w:rPr>
            <w:t>73</w:t>
          </w:r>
        </w:p>
        <w:p>
          <w:pPr>
            <w:tabs>
              <w:tab w:val="right" w:leader="dot" w:pos="9350"/>
            </w:tabs>
            <w:spacing w:after="40"/>
            <w:ind w:left="240"/>
          </w:pPr>
          <w:r>
            <w:rPr>
              <w:rFonts w:ascii="Calibri" w:cs="Calibri" w:eastAsia="Calibri" w:hAnsi="Calibri"/>
              <w:sz w:val="19"/>
              <w:szCs w:val="19"/>
            </w:rPr>
            <w:t xml:space="preserve">12.2 Blocages AVANT dépôt du SFOC</w:t>
          </w:r>
          <w:r>
            <w:tab/>
          </w:r>
          <w:r>
            <w:rPr>
              <w:sz w:val="19"/>
              <w:szCs w:val="19"/>
            </w:rPr>
            <w:t>73</w:t>
          </w:r>
        </w:p>
        <w:p>
          <w:pPr>
            <w:tabs>
              <w:tab w:val="right" w:leader="dot" w:pos="9350"/>
            </w:tabs>
            <w:spacing w:after="40"/>
          </w:pPr>
          <w:r>
            <w:rPr>
              <w:rFonts w:ascii="Calibri" w:cs="Calibri" w:eastAsia="Calibri" w:hAnsi="Calibri"/>
              <w:b/>
              <w:bCs/>
              <w:sz w:val="19"/>
              <w:szCs w:val="19"/>
            </w:rPr>
            <w:t xml:space="preserve">13. Retours d'expérience administratifs — non crédités comme exigences réglementaires</w:t>
          </w:r>
          <w:r>
            <w:tab/>
          </w:r>
          <w:r>
            <w:rPr>
              <w:sz w:val="19"/>
              <w:szCs w:val="19"/>
            </w:rPr>
            <w:t>75</w:t>
          </w:r>
        </w:p>
        <w:p>
          <w:pPr>
            <w:tabs>
              <w:tab w:val="right" w:leader="dot" w:pos="9350"/>
            </w:tabs>
            <w:spacing w:after="40"/>
            <w:ind w:left="240"/>
          </w:pPr>
          <w:r>
            <w:rPr>
              <w:rFonts w:ascii="Calibri" w:cs="Calibri" w:eastAsia="Calibri" w:hAnsi="Calibri"/>
              <w:sz w:val="19"/>
              <w:szCs w:val="19"/>
            </w:rPr>
            <w:t xml:space="preserve">13.1 Tableau de statuts</w:t>
          </w:r>
          <w:r>
            <w:tab/>
          </w:r>
          <w:r>
            <w:rPr>
              <w:sz w:val="19"/>
              <w:szCs w:val="19"/>
            </w:rPr>
            <w:t>75</w:t>
          </w:r>
        </w:p>
        <w:p>
          <w:pPr>
            <w:tabs>
              <w:tab w:val="right" w:leader="dot" w:pos="9350"/>
            </w:tabs>
            <w:spacing w:after="40"/>
            <w:ind w:left="240"/>
          </w:pPr>
          <w:r>
            <w:rPr>
              <w:rFonts w:ascii="Calibri" w:cs="Calibri" w:eastAsia="Calibri" w:hAnsi="Calibri"/>
              <w:sz w:val="19"/>
              <w:szCs w:val="19"/>
            </w:rPr>
            <w:t xml:space="preserve">13.2 Formulations prudentes retenues</w:t>
          </w:r>
          <w:r>
            <w:tab/>
          </w:r>
          <w:r>
            <w:rPr>
              <w:sz w:val="19"/>
              <w:szCs w:val="19"/>
            </w:rPr>
            <w:t>76</w:t>
          </w:r>
        </w:p>
        <w:p>
          <w:pPr>
            <w:tabs>
              <w:tab w:val="right" w:leader="dot" w:pos="9350"/>
            </w:tabs>
            <w:spacing w:after="40"/>
            <w:ind w:left="240"/>
          </w:pPr>
          <w:r>
            <w:rPr>
              <w:rFonts w:ascii="Calibri" w:cs="Calibri" w:eastAsia="Calibri" w:hAnsi="Calibri"/>
              <w:sz w:val="19"/>
              <w:szCs w:val="19"/>
            </w:rPr>
            <w:t xml:space="preserve">13.3 Point de vérité — origine du besoin de Safety Case</w:t>
          </w:r>
          <w:r>
            <w:tab/>
          </w:r>
          <w:r>
            <w:rPr>
              <w:sz w:val="19"/>
              <w:szCs w:val="19"/>
            </w:rPr>
            <w:t>76</w:t>
          </w:r>
        </w:p>
        <w:p>
          <w:pPr>
            <w:tabs>
              <w:tab w:val="right" w:leader="dot" w:pos="9350"/>
            </w:tabs>
            <w:spacing w:after="40"/>
          </w:pPr>
          <w:r>
            <w:rPr>
              <w:rFonts w:ascii="Calibri" w:cs="Calibri" w:eastAsia="Calibri" w:hAnsi="Calibri"/>
              <w:b/>
              <w:bCs/>
              <w:sz w:val="19"/>
              <w:szCs w:val="19"/>
            </w:rPr>
            <w:t xml:space="preserve">Approbation finale du dossier</w:t>
          </w:r>
          <w:r>
            <w:tab/>
          </w:r>
          <w:r>
            <w:rPr>
              <w:sz w:val="19"/>
              <w:szCs w:val="19"/>
            </w:rPr>
            <w:t>78</w:t>
          </w:r>
        </w:p>
        <w:p>
          <w:pPr>
            <w:tabs>
              <w:tab w:val="right" w:leader="dot" w:pos="9350"/>
            </w:tabs>
            <w:spacing w:after="40"/>
            <w:ind w:left="240"/>
          </w:pPr>
          <w:r>
            <w:rPr>
              <w:rFonts w:ascii="Calibri" w:cs="Calibri" w:eastAsia="Calibri" w:hAnsi="Calibri"/>
              <w:sz w:val="19"/>
              <w:szCs w:val="19"/>
            </w:rPr>
            <w:t xml:space="preserve">Annexe — Rapport JUnit historique (SUPERSEDED : sous-ensemble soccer 26 classes / 278 cas ; décompte à jour au</w:t>
          </w:r>
          <w:r>
            <w:tab/>
          </w:r>
          <w:r>
            <w:rPr>
              <w:sz w:val="19"/>
              <w:szCs w:val="19"/>
            </w:rPr>
            <w:t>78</w:t>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le verrou logiciel obstacleGateAllows a été RETIRÉ de la baseline altitude en v51 (preuve d'indépendance, 512 combinaisons) — l'émission RÉELLE n'est toutefois PAS démontrée sur l'aéronef (SOCCER_2D_REAL_ENABLED=false ; E-03 requis)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696 cas de test automatisés (le 278 est un rapport JUnit historique, superseded — voir manifeste §7), 0 échec, dont DEUX preuves exhaustives de l'arbitre, chacune sur 512 combinaisons (2⁹) : chemin HORIZONTAL (9 conditions, un seul cas autorise) et baseline ALTITUDE (8 conditions applicables, indépendance du bit gate prouvée bit à bit).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l'événement est annoncé au public ; le périmètre officiel de l'événement sera cartographié. Le scénario SFOC événement annoncé (RAC partie IX, microdrones inclus depuis 2025-04-01, pour un vol à moins de 30 m des limites de l'événement) est retenu PROVISOIREMENT ; son applicabilité sera confirmée lorsque la distance minimale entre le volume de vol et les limites de l'événement aura été établie.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§4.2.</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§5.3.</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OFFICIEL de demande de SFOC-RPAS lié depuis la page TC « Événement annoncé » — numéro et révision À VÉRIFIER le jour du téléchargement —,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+ 696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696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déterminer OFFICIELLEMENT la classe d'espace aérien et les exigences ATS/NAV Drone applicables ; obtenir toute permission générée lorsqu'elle est requise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NEUF procédures d'urgence numérotées (§9.3.1 à §9.3.9 : intrusion, perte RC, anomalie logiciel, météo, arrêt d'urgence, perte vidéo, batterie, perte GPS, perte VLOS), complétées par la section Autorité et communications (§9.3.10) ; fiche exercice préparée + responsables nommés (§9.3.10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AVANT dépôt : analyse d'espace aérien ; APRÈS délivrance du SFOC et avant chaque opération : opération NAV Drone + RPAS Operation Summary accepté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 DE SÉPARATION DÉFINIE — géométrie réelle NON encore démontrée (§4.2.4 : dépistage latéral ≥ 16,2 m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§5.2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conditions d'armement — en DEUX preuves : chemin horizontal (9 conditions) et baseline altitude (8 conditions applicables, gate hors périmètre) — tandis que la priorité pilote et l'urgence sont vérifiées séparément et testées à part (voir §7). La preuve « 512 » concerne UNIQUEMENT l'arbitre (FlightCommandArbiter). Le double verrou 2D (Emission2DGuard) est testé par ses propres cas dédiés (26 tests directs dans l'exécution actuelle, dont la preuve d'indépendance du bit gate ; l'extrait historique en annexe montrait l'ancien état de 13),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la baseline altitude seule, cette condition est RETIRÉE du chemin d'émission depuis la v51 (l'arbitre l'ignore ; preuve d'indépendance sur 512 combinaisons) et demeure NON CRÉDITÉE comme barrière d'évitement. Sur le chemin HORIZONTAL (rail/2D réel, hors périmètre de la demande), le drapeau reste une condition dure, à false (fail-closed) tant qu'une fonction d'évitement n'est pas définie, documentée et démontrée — capteur, portée, angles morts, conditions de lumière, latence, comportement si indisponible). Le confinement repose donc sur le géorepérage + buffer (§4.2)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restreint à l'ALTITUDE AUTOMATISÉE (SoccerDirector → contrôleur d'altitude → Emission2DGuard → arbitre). Le décalage latéral proposé par SoccerDirector reste en MIROIR/JOURNAL — jamais émis (roll/pitch/yaw = 0 reconstruits). Le mode rail est une capacité distincte de l'application,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logiciel réel — exécuté et testé jusqu'à l'arbitre ; l'émission matérielle demeure NON démontrée —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les sites, dates, heures, buts, volumes et analyses couverts doivent être INCLUS DANS LA DEMANDE INITIALE et dans le certificat délivré, ou faire l'objet d'une modification / nouvelle autorisation AVANT leur ajout (AC 903-002).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À CONFIRMER PAR L'EXPLOITANT :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Modes de suivi de l'APPLICATION : deux modes sélectionnables dans le menu SOCCER (RAIL — le drone reste sur un rail latéral ; 2D TERRAIN — le drone se place en retrait de l'action). PÉRIMÈTRE DE LA DEMANDE : altitude automatisée SEULE ; les déplacements horizontaux automatisés (rail ET retrait 2D) sont VERROUILLÉS pendant les opérations SFOC (SOCCER_RAIL_REAL_ENABLED=false ; roll/pitch/yaw reconstruits à 0 au point d'émission). Le profil de rail de l'outil de préparation (orientation gauche→droite, altitude 25 m, vitesse 2,0 m/s, position sûre 0,5) documente une capacité FUTURE, non demandée ici. Position initiale : le drone est amené MANUELLEMENT par le pilote à sa position de retrait, puis l'altitude automatisée est armée.</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PRÉSUMÉ en espace aérien contrôlé — classe À DÉTERMINER OFFICIELLEMENT au point et aux altitudes de l'opération (proximité de l'aéroport Montréal–Trudeau / CYUL et de l'aéroport métropolitain / CYHU, densité urbaine, héliports hospitaliers dont le CHUM). La proximité de CYUL/CYHU, des héliports et la densité urbaine ne suffisent PAS à établir juridiquement la classe : À DÉTERMINER OFFICIELLEMENT (NAV Drone — outil officiel de planification et de demande de permission — ET par les publications aéronautiques applicables — cartes VFR, Supplément de vol – Canada, Manuel des espaces aériens désignés ; les NOTAM sont vérifiés par les sources aéronautiques officielles). L'opération sera créée dans NAV Drone sous catégorie SFOC APRÈS la délivrance du SFOC ; toute permission générée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Identifier TOUS les héliports certifiés figurant dans le CFS (Supplément de vol – Canada) et leurs circuits, notamment les héliports hospitaliers (CHUM). Si l'opération se trouve à moins de 1,9 km d'un héliport certifié, documenter la procédure applicable, les permissions et les conditions du SFOC ; ne PAS présumer qu'une distance seule règle le risque de rencontre.</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l'analyse d'espace aérien, la méthode d'obtention des permissions et les informations requises ne sont pas jointes, la demande SFOC n'est pas complète. Après délivrance du SFOC, les permissions NAV Drone applicables devront être obtenues avant l'exécution : l'opération n'est pas EXÉCUTABLE sans elles (condition de VOL, non de dépôt).</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Position PRÉVUE : à côté du terrain, survol de personnes INTERDIT — séparation à confirmer par le relevé et le plan final ; volume de vol séparé du public et du terrain par des marges (voir §4.2)</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(scénario dimensionnant)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Objectif ≥ 30 m ; à DÉMONTRER par le calcul de confinement §4.2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15–35 m AU-DESSUS DE L'ALTITUDE DE RÉFÉRENCE DU DÉCOLLAGE (KeyAltitude = altitude RELATIVE au point de décollage, PAS l'AGL terrain). La hauteur AGL réelle sur l'ensemble du volume sera obtenue par relevé du terrain et vérifiée avant l'opération ; deux variables distinctes sont tenues : altitude_relative_takeoff_m et height_agl_estimated_m. Plafond logiciel 35 m ; plafond réglementaire 122 m à démontrer en AGL réel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 QUALIFICATION DU FONDEMENT (critère officiel TC) : le périmètre réel de l'événement sera cartographié ; la distance minimale entre toute position du RPAS et la limite de ce périmètre sera calculée. Si l'opération se déroule à moins de 30 m de cette limite, le SFOC-RPAS pour événement annoncé est requis. Si la séparation demeure d'au moins 30 m, l'applicabilité de ce fondement sera réévaluée selon les règles et conditions opérationnelles restantes. Le scénario CONSERVATEUR (SFOC demandé) est retenu tant que le périmètre n'est pas cartographié. Le plan devra distinguer : périmètre officiel de l'événement, distance du volume de vol à ce périmètre, limite du terrain sportif, limites du public et des accès, distance aux personnes (la limite d'événement n'est ni la ligne de touche, ni le joueur le plus proche, ni les gradins).</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§4.2.</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§4.2.</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dépassement maximal crédible avant arrêt. Il se calcule comme la somme des distances parcourues durant chaque latence, plus le freinage et une marge. Les paramètres proviennent du code réel (Phase3Activity.kt) ; TOUS les termes non mesurés du calcul demeurent PROVISOIRES (freinage, latences, position, vent, erreur cartographique, persistance de commande, reprise pilote) tant qu'ils ne sont pas mesurés.</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 2,0 s (RTK_AGE_MAX_S) ; au-delà, la commande automatisée est neutralisée/bloquée (réaction physique à caractériser, E-03).</w:t>
      </w:r>
    </w:p>
    <w:p>
      <w:pPr>
        <w:spacing w:after="100" w:line="276"/>
      </w:pPr>
      <w:r>
        <w:rPr>
          <w:rFonts w:ascii="Calibri" w:cs="Calibri" w:eastAsia="Calibri" w:hAnsi="Calibri"/>
          <w:sz w:val="21"/>
          <w:szCs w:val="21"/>
        </w:rPr>
        <w:t xml:space="preserve">Chaîne de distance (scénario de calcul PROVISOIRE,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additionnelle FORFAITAIRE = 5,00 m — PROVISOIRE, à remplacer par des termes mesurés distincts : erreur GNSS horizontale, délai de mise à jour de position, dérive au vent, erreur cartographique, tolérance de géorepérage, imprécision de la limite réelle du site, incertitude statistique des essais</w:t>
      </w:r>
    </w:p>
    <w:p>
      <w:pPr>
        <w:spacing w:after="100" w:line="276"/>
      </w:pPr>
      <w:r>
        <w:rPr>
          <w:rFonts w:ascii="Calibri" w:cs="Calibri" w:eastAsia="Calibri" w:hAnsi="Calibri"/>
          <w:b/>
          <w:bCs/>
          <w:sz w:val="21"/>
          <w:szCs w:val="21"/>
        </w:rPr>
        <w:t xml:space="preserve">BUFFER TOTAL (somme brute des délais, scénario provisoire) ≈ 28,7 m à 4 m/s. Conséquence : pour viser ≥ 30 m réels au non-impliqué le plus proche dans ce scénario, la distance nominale de vol devrait être ≥ ~59 m — irréaliste sur un terrain. Le facteur DOMINANT est la vitesse (le freinage varie en v²). MÉTHODE CIBLE (v51, à appliquer avec les mesures E-03/E-12) : la somme brute suppose que TOUS les délais s'enchaînent intégralement — ce qui n'est pas nécessairement le cas — et pourrait aussi OMETTRE une persistance Virtual Stick révélée par E-03. Le buffer final sera le MAXIMUM CRÉDIBLE parmi des scénarios de défaillance séparés, chacun évalué comme d_excursion = d_avant_détection + d_persistance + d_réponse + d_arrêt + d_environnement : (1) détection YOLO périmée ; (2) position drone périmée ; (3) commande persistante après gel ; (4) reprise pilote ; (5) perte de liaison ; (6) dérive au vent ; (7) erreur de position ; (8) combinaison de causes communes crédibles — avec incertitude statistique. La somme brute actuelle est conservée comme scénario ENVELOPPE PROVISOIRE en attendant les mesures.</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PORTÉE : la vitesse horizontale ne concerne que les modes horizontaux FUTURS (hors demande) et le scénario enveloppe d'une vitesse horizontale présente au moment d'un gel/d'une reprise ; la baseline demandée n'automatise AUCUN mouvement horizontal. RECOMMANDATION DE CONCEPTION (modes futurs)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hypothèses de calcul PROVISOIRES, non des valeurs démontrées ; aucune qualification de majorant avant les essais.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par scénarios de défaillance (voir méthode ci-dessous).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borne à mesurer)</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‹e_pos› m — selon §5.2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Le vol soccer est limité à 2 m/s par verrouillage logiciel (SafetyLimits). Aucune marge de contrôle ni aucun freinage supérieur n'est présumé de ce seul fait : toutes les performances réelles restent à mesurer.</w:t>
      </w:r>
    </w:p>
    <w:p>
      <w:pPr>
        <w:spacing w:after="80" w:line="272"/>
      </w:pPr>
      <w:r>
        <w:rPr>
          <w:rFonts w:ascii="Calibri" w:cs="Calibri" w:eastAsia="Calibri" w:hAnsi="Calibri"/>
          <w:sz w:val="21"/>
          <w:szCs w:val="21"/>
        </w:rPr>
        <w:t xml:space="preserve">Chaîne de distance à 2 m/s (hypothèse de calcul PROVISOIRE : a = 1,0 m/s², non démontrée)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hypothèse provisoire non démontrée)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forfaitaire = 5,00 m — PROVISOIRE, à décomposer en termes mesurés distincts (voir §4.2.1)</w:t>
      </w:r>
    </w:p>
    <w:p>
      <w:pPr>
        <w:spacing w:after="80" w:line="272"/>
      </w:pPr>
      <w:r>
        <w:rPr>
          <w:rFonts w:ascii="Calibri" w:cs="Calibri" w:eastAsia="Calibri" w:hAnsi="Calibri"/>
          <w:b/>
          <w:bCs/>
          <w:sz w:val="21"/>
          <w:szCs w:val="21"/>
        </w:rPr>
        <w:t xml:space="preserve">BUFFER PROVISOIRE CALCULÉ ≈ 16,2 m à 2 m/s, avec les hypothèses de travail ci-dessus (non démontrées).</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en vol peut CONFIRMER, RÉDUIRE ou AUGMENTER ce buffer (une commande persistante, une perte de position, un vent défavorable ou une reprise plus lente l'AUGMENTERAIENT).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(hypothèse basse provisoire)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(valeur NON démontrée pour ce drone) → buffer 14,7 m</w:t>
      </w:r>
    </w:p>
    <w:p>
      <w:pPr>
        <w:spacing w:after="80" w:line="272"/>
      </w:pPr>
      <w:r>
        <w:rPr>
          <w:rFonts w:ascii="Calibri" w:cs="Calibri" w:eastAsia="Calibri" w:hAnsi="Calibri"/>
          <w:b/>
          <w:bCs/>
          <w:sz w:val="21"/>
          <w:szCs w:val="21"/>
        </w:rPr>
        <w:t xml:space="preserve">CONCLUSION : le buffer de 16,2 m constitue une VALEUR DE CONCEPTION PROVISOIRE obtenue avec des hypothèses de travail. Il n'est ni démontré, ni qualifié de robuste, ni reconnu comme majorant opérationnel. Sa valeur finale dépend notamment d'E-03, d'E-12, du freinage réel, des latences, de la précision de position, du vent et de la configuration Virtual Stick. Le buffer (excursion après défaillance) NE DOIT PAS être confondu avec la distance minimale visée (30 m) : si l'objectif interne est de conserver 30 m APRÈS une excursion de 16,2 m, la trajectoire NOMINALE doit être planifiée à distance supérieure (≈ 46 m), pas à 16,2 m. La mesure en vol peut CONFIRMER, RÉDUIRE ou AUGMENTER le buffer ; aucune direction n'est présumée avant les mesures.</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EXIGENCES DU PLAN FINAL (relevé géoréférencé) : coordonnées des sommets ; périmètre officiel de l'événement ; limites du terrain ; position des joueurs la plus défavorable ; spectateurs, gradins et bancs ; allées et entrées publiques ; obstacles (arbres, filets, poteaux, luminaires) ; volume opérationnel ; volume de contingence ; polygone logiciel interne ; corridor d'urgence ; trajectoires de décollage et d'atterrissage ; corridor/comportement RTH ; altitude et volume en trois dimensions. La règle « au moins un côté ≥ 16,2 m » ne suffit PAS à démontrer les extrémités, le décollage, l'atterrissage, la reprise pilote et le RTH.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Cette analyse est un DÉPISTAGE LATÉRAL PRÉLIMINAIRE : la disponibilité d'au moins 16,2 m sur un côté constitue seulement une CONDITION NÉCESSAIRE de placement latéral. Elle ne suffit PAS à démontrer le confinement global (toutes les limites horizontales, extrémités, volume vertical, décollage/atterrissage, corridor d'urgence, RTH, personnes, périmètre de l'événement, excursions mesurées).</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LATÉRAL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20 m disponibles → marge +3,8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25 m disponibles → marge +8,8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30 m disponibles → marge +13,8 m → LATÉRAL POSSIBLE — analyse complète requise</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DÉPISTAGE (préliminaire) : un côté offrant ≥ 16,2 m d'espace dégagé rend le placement latéral POSSIBLE ; le volume opérationnel peut alors y être étudié (voir plan §4.2.3). Le confinement global ne peut être déclaré satisfait qu'après validation de toutes les limites horizontales, des extrémités, du volume vertical, du décollage et de l'atterrissage, du corridor d'urgence, du RTH, des personnes, du périmètre de l'événement et des excursions mesurées.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L'UN DES ÉLÉMENTS DE SITE ENCORE REQUIS (avec le plan géoréférencé, les extrémités, les obstacles, le corridor RTH, le volume vertical et le buffer mesuré) — elle ne clôt PAS à elle seule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§5.2›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(cas le plus contraignant)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5.2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FlightControllerKey.KeyAircraftLocation3D (MSDK v5) — lat/lon WGS-84 + altitude relative au décollage ; lecture par poller applicatif</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 Hz (poller applicatif, 200 ms)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2 000 ms (RTK_AGE_MAX_S) — au-delà : blocage émission</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 (bloquant avant émission réelle)</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FlightControllerKey.KeyAltitude (MSDK v5) — altitude RELATIVE au point de décollage (PAS l'AGL terrain ; écart à caractériser en E-03)</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poussée par le SDK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à fixer (proposé 2 000 ms) — À CONFIRMER</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USAGE : CADRAGE uniquement dans la baseline altitude (suivi YOLO image) → AUCUN crédit de confinement ; SANS OBJET pour le chemin de sécurité de la baseline. Contrat complet requis SEULEMENT si un usage sécurité est introduit (RTK externe pressenti : module AndroidRtkV4 présent au code)</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contribue au respect de la VLOS et du plan opérationnel — elle ne démontre PAS à elle seule le confinement du drone (confinement : §4.2, à démontrer).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5.3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Si masse opérationnelle &lt; 250 g (à confirmer par pesée) : SANS OBJET pour cette raison. Si ≥ 250 g : déterminer les déclarations applicables selon la distance réelle et le modèle — la distance ≥ 30 m n'est PAS encore démontrée et ne peut fonder l'exemption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§5.2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§5.2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§5.2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§4.2.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(§9.3.5).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§4.2.1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(cas le plus contraignant).</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PRÉVENTIVES : verrouillage mécanique de la batterie, inspection des contacts, état de santé, rotation, historique des cycles, seuil de tension, température, check-list pré-vol. BARRIÈRE DE CONSÉQUENCE : volume de vol et zone au sol réduisant l'exposition en cas de chute non contrôlée. AUCUN crédit failsafe n'est accordé pour une perte COMPLÈTE d'alimentation (un contrôleur sans alimentation ne peut exécuter ni RTH ni atterrissage contrôlé). Décision : le résiduel (gravité 5) N'EST PAS déclaré acceptable avant la revue spéciale et les preuves de maintenance — À JOINDRE (bloquant pour ce danger).</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696 cas de test automatisés (JVM ; l'annexe Couverture des tests décrit la suite au moment de sa rédaction — décompte à jour au manifeste §7.1), détaillés dans l'annexe « Couverture des tests logiciels » (document séparé, 2026-07-20). Les composants de sécurité critiques y figurent : Emission2DGuard (26 cas), FlightCommandArbiter (29),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26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CRÉÉE (classe+10 tests) ; migration incomplète (dupliquée dans Phase3Activity) à finaliser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Watchdog : crédit SCINDÉ (v51) en deux modes de défaillance distincts — (a) retard/ralentissement du cycle, fil encore actif : 60 → 30 (watchdog de cycle implémenté et testé) ; (b) GEL TOTAL du fil d'émission : AUCUNE réduction (reste 60) tant que le watchdog STRICTEMENT indépendant n'est pas implémenté (REQ-WDG-001) — on ne crédite pas une barrière contre un mode de défaillance qu'elle ne peut pas détecter.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(26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§9.3.5) ; E-09 (perte RC, §9.3.2) ; tests logiciels (Emission2DGuardTest 26, FlightCommandArbiterTest 29,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Manifeste des preuves logicielles (exécution réelle)</w:t>
      </w:r>
    </w:p>
    <w:p>
      <w:pPr>
        <w:spacing w:after="100" w:line="276"/>
      </w:pPr>
      <w:r>
        <w:rPr>
          <w:rFonts w:ascii="Calibri" w:cs="Calibri" w:eastAsia="Calibri" w:hAnsi="Calibri"/>
          <w:sz w:val="21"/>
          <w:szCs w:val="21"/>
        </w:rPr>
        <w:t xml:space="preserve">Exécution Gradle UNIQUE (tâche testDebugUnitTest, 71 fichiers de rapport JUnit XML dans app/build/test-results/testDebugUnitTest/) du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(toutes suites, 5 packages)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696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14,0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spacing w:before="120" w:after="120"/>
      </w:pPr>
      <w:r>
        <w:rPr>
          <w:rFonts w:ascii="Calibri" w:cs="Calibri" w:eastAsia="Calibri" w:hAnsi="Calibri"/>
          <w:sz w:val="21"/>
          <w:szCs w:val="21"/>
        </w:rPr>
        <w:t xml:space="preserve">Manifeste des suites (décompte RÉEL par paquet, extrait des 71 fichiers JUnit XML — chaque test compté une seule fois)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0" w:type="auto"/>
          </w:tcPr>
          <w:p>
            <w:pPr>
              <w:spacing w:after="40"/>
            </w:pPr>
            <w:r>
              <w:rPr>
                <w:rFonts w:ascii="Calibri" w:cs="Calibri" w:eastAsia="Calibri" w:hAnsi="Calibri"/>
                <w:b/>
                <w:bCs/>
                <w:sz w:val="19"/>
                <w:szCs w:val="19"/>
              </w:rPr>
              <w:t xml:space="preserve">Suite (paquet)</w:t>
            </w:r>
          </w:p>
        </w:tc>
        <w:tc>
          <w:tcPr>
            <w:tcW w:w="0" w:type="auto"/>
          </w:tcPr>
          <w:p>
            <w:pPr>
              <w:spacing w:after="40"/>
            </w:pPr>
            <w:r>
              <w:rPr>
                <w:rFonts w:ascii="Calibri" w:cs="Calibri" w:eastAsia="Calibri" w:hAnsi="Calibri"/>
                <w:b/>
                <w:bCs/>
                <w:sz w:val="19"/>
                <w:szCs w:val="19"/>
              </w:rPr>
              <w:t xml:space="preserve">Classes</w:t>
            </w:r>
          </w:p>
        </w:tc>
        <w:tc>
          <w:tcPr>
            <w:tcW w:w="0" w:type="auto"/>
          </w:tcPr>
          <w:p>
            <w:pPr>
              <w:spacing w:after="40"/>
            </w:pPr>
            <w:r>
              <w:rPr>
                <w:rFonts w:ascii="Calibri" w:cs="Calibri" w:eastAsia="Calibri" w:hAnsi="Calibri"/>
                <w:b/>
                <w:bCs/>
                <w:sz w:val="19"/>
                <w:szCs w:val="19"/>
              </w:rPr>
              <w:t xml:space="preserve">Tests</w:t>
            </w:r>
          </w:p>
        </w:tc>
        <w:tc>
          <w:tcPr>
            <w:tcW w:w="0" w:type="auto"/>
          </w:tcPr>
          <w:p>
            <w:pPr>
              <w:spacing w:after="40"/>
            </w:pPr>
            <w:r>
              <w:rPr>
                <w:rFonts w:ascii="Calibri" w:cs="Calibri" w:eastAsia="Calibri" w:hAnsi="Calibri"/>
                <w:b/>
                <w:bCs/>
                <w:sz w:val="19"/>
                <w:szCs w:val="19"/>
              </w:rPr>
              <w:t xml:space="preserve">Échecs</w:t>
            </w:r>
          </w:p>
        </w:tc>
        <w:tc>
          <w:tcPr>
            <w:tcW w:w="0" w:type="auto"/>
          </w:tcPr>
          <w:p>
            <w:pPr>
              <w:spacing w:after="40"/>
            </w:pPr>
            <w:r>
              <w:rPr>
                <w:rFonts w:ascii="Calibri" w:cs="Calibri" w:eastAsia="Calibri" w:hAnsi="Calibri"/>
                <w:b/>
                <w:bCs/>
                <w:sz w:val="19"/>
                <w:szCs w:val="19"/>
              </w:rPr>
              <w:t xml:space="preserve">Environnement</w:t>
            </w:r>
          </w:p>
        </w:tc>
      </w:tr>
      <w:tr>
        <w:tc>
          <w:tcPr>
            <w:tcW w:w="0" w:type="auto"/>
          </w:tcPr>
          <w:p>
            <w:pPr>
              <w:spacing w:after="40"/>
            </w:pPr>
            <w:r>
              <w:rPr>
                <w:rFonts w:ascii="Calibri" w:cs="Calibri" w:eastAsia="Calibri" w:hAnsi="Calibri"/>
                <w:sz w:val="19"/>
                <w:szCs w:val="19"/>
              </w:rPr>
              <w:t xml:space="preserve">ca.cineflight.stage.sport.soccer</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384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(1 classe Robolectric : SoccerRailProfileParserTest)</w:t>
            </w:r>
          </w:p>
        </w:tc>
      </w:tr>
      <w:tr>
        <w:tc>
          <w:tcPr>
            <w:tcW w:w="0" w:type="auto"/>
          </w:tcPr>
          <w:p>
            <w:pPr>
              <w:spacing w:after="40"/>
            </w:pPr>
            <w:r>
              <w:rPr>
                <w:rFonts w:ascii="Calibri" w:cs="Calibri" w:eastAsia="Calibri" w:hAnsi="Calibri"/>
                <w:sz w:val="19"/>
                <w:szCs w:val="19"/>
              </w:rPr>
              <w:t xml:space="preserve">ca.cineflight.stage.control</w:t>
            </w:r>
          </w:p>
        </w:tc>
        <w:tc>
          <w:tcPr>
            <w:tcW w:w="0" w:type="auto"/>
          </w:tcPr>
          <w:p>
            <w:pPr>
              <w:spacing w:after="40"/>
            </w:pPr>
            <w:r>
              <w:rPr>
                <w:rFonts w:ascii="Calibri" w:cs="Calibri" w:eastAsia="Calibri" w:hAnsi="Calibri"/>
                <w:sz w:val="19"/>
                <w:szCs w:val="19"/>
              </w:rPr>
              <w:t xml:space="preserve">31</w:t>
            </w:r>
          </w:p>
        </w:tc>
        <w:tc>
          <w:tcPr>
            <w:tcW w:w="0" w:type="auto"/>
          </w:tcPr>
          <w:p>
            <w:pPr>
              <w:spacing w:after="40"/>
            </w:pPr>
            <w:r>
              <w:rPr>
                <w:rFonts w:ascii="Calibri" w:cs="Calibri" w:eastAsia="Calibri" w:hAnsi="Calibri"/>
                <w:sz w:val="19"/>
                <w:szCs w:val="19"/>
              </w:rPr>
              <w:t xml:space="preserve">261</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(6 classes Robolectric : PiloteDrone*)</w:t>
            </w:r>
          </w:p>
        </w:tc>
      </w:tr>
      <w:tr>
        <w:tc>
          <w:tcPr>
            <w:tcW w:w="0" w:type="auto"/>
          </w:tcPr>
          <w:p>
            <w:pPr>
              <w:spacing w:after="40"/>
            </w:pPr>
            <w:r>
              <w:rPr>
                <w:rFonts w:ascii="Calibri" w:cs="Calibri" w:eastAsia="Calibri" w:hAnsi="Calibri"/>
                <w:sz w:val="19"/>
                <w:szCs w:val="19"/>
              </w:rPr>
              <w:t xml:space="preserve">ca.cineflight.stage.sentinelle</w:t>
            </w:r>
          </w:p>
        </w:tc>
        <w:tc>
          <w:tcPr>
            <w:tcW w:w="0" w:type="auto"/>
          </w:tcPr>
          <w:p>
            <w:pPr>
              <w:spacing w:after="40"/>
            </w:pPr>
            <w:r>
              <w:rPr>
                <w:rFonts w:ascii="Calibri" w:cs="Calibri" w:eastAsia="Calibri" w:hAnsi="Calibri"/>
                <w:sz w:val="19"/>
                <w:szCs w:val="19"/>
              </w:rPr>
              <w:t xml:space="preserve">4</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ca.cineflight.stage.cine</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8</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ca.cineflight.stage.streaming</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9</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b/>
                <w:bCs/>
                <w:sz w:val="19"/>
                <w:szCs w:val="19"/>
              </w:rPr>
              <w:t xml:space="preserve">TOTAL (sans doublon)</w:t>
            </w:r>
          </w:p>
        </w:tc>
        <w:tc>
          <w:tcPr>
            <w:tcW w:w="0" w:type="auto"/>
          </w:tcPr>
          <w:p>
            <w:pPr>
              <w:spacing w:after="40"/>
            </w:pPr>
            <w:r>
              <w:rPr>
                <w:rFonts w:ascii="Calibri" w:cs="Calibri" w:eastAsia="Calibri" w:hAnsi="Calibri"/>
                <w:b/>
                <w:bCs/>
                <w:sz w:val="19"/>
                <w:szCs w:val="19"/>
              </w:rPr>
              <w:t xml:space="preserve">71</w:t>
            </w:r>
          </w:p>
        </w:tc>
        <w:tc>
          <w:tcPr>
            <w:tcW w:w="0" w:type="auto"/>
          </w:tcPr>
          <w:p>
            <w:pPr>
              <w:spacing w:after="40"/>
            </w:pPr>
            <w:r>
              <w:rPr>
                <w:rFonts w:ascii="Calibri" w:cs="Calibri" w:eastAsia="Calibri" w:hAnsi="Calibri"/>
                <w:b/>
                <w:bCs/>
                <w:sz w:val="19"/>
                <w:szCs w:val="19"/>
              </w:rPr>
              <w:t xml:space="preserve">696</w:t>
            </w:r>
          </w:p>
        </w:tc>
        <w:tc>
          <w:tcPr>
            <w:tcW w:w="0" w:type="auto"/>
          </w:tcPr>
          <w:p>
            <w:pPr>
              <w:spacing w:after="40"/>
            </w:pPr>
            <w:r>
              <w:rPr>
                <w:rFonts w:ascii="Calibri" w:cs="Calibri" w:eastAsia="Calibri" w:hAnsi="Calibri"/>
                <w:b/>
                <w:bCs/>
                <w:sz w:val="19"/>
                <w:szCs w:val="19"/>
              </w:rPr>
              <w:t xml:space="preserve">0</w:t>
            </w:r>
          </w:p>
        </w:tc>
        <w:tc>
          <w:tcPr>
            <w:tcW w:w="0" w:type="auto"/>
          </w:tcPr>
          <w:p>
            <w:pPr>
              <w:spacing w:after="40"/>
            </w:pPr>
            <w:r>
              <w:rPr>
                <w:rFonts w:ascii="Calibri" w:cs="Calibri" w:eastAsia="Calibri" w:hAnsi="Calibri"/>
                <w:b/>
                <w:bCs/>
                <w:sz w:val="19"/>
                <w:szCs w:val="19"/>
              </w:rPr>
              <w:t xml:space="preserve">Exécution unique testDebugUnitTest, 2026-07-20 (après retrait du gate, v51), ≈ 14,0 s</w:t>
            </w:r>
          </w:p>
        </w:tc>
      </w:tr>
    </w:tbl>
    <w:p>
      <w:pPr>
        <w:spacing w:before="120" w:after="120"/>
      </w:pPr>
      <w:r>
        <w:rPr>
          <w:rFonts w:ascii="Calibri" w:cs="Calibri" w:eastAsia="Calibri" w:hAnsi="Calibri"/>
          <w:sz w:val="21"/>
          <w:szCs w:val="21"/>
        </w:rPr>
        <w:t xml:space="preserve">LECTURE DU MANIFESTE : le total de 696 est la somme des 71 fichiers JUnit XML d'une exécution unique (aucun doublon). L'ancien total de 278 (26 classes) provient d'un rapport HISTORIQUE limité au package soccer, produit AVANT l'ajout des suites récentes ; il est SUPERSEDED et conservé en ANNEXE (« Rapport JUnit historique ») uniquement pour traçabilité — les 411 tests supplémentaires sont couverts par les mêmes rapports XML de l'exécution du 2026-07-20 (paquets control, sentinelle, cine, streaming et nouvelles suites soccer). Emission2DGuardTest compte AUJOURD'HUI 26 cas directs (13 historiques + 12 ajoutés + 1 preuve d'indépendance du gate en v51 ; aucun double comptage indirect). Les rapports BRUTS sont JOINTS au dossier : archive « Preuves_Tests_Logiciels_2026-07-20.zip » (71 rapports JUnit XML + rapport HTML Gradle + rapport JaCoCo HTML/XML). La couverture JaCoCo (86,0 % instructions / 71,6 % branches) est calculée sur les classes du package soccer à partir des données d'exécution de CETTE MÊME suite testDebugUnitTest (rapport jacocoSoccerReport).</w:t>
      </w:r>
    </w:p>
    <w:p>
      <w:pPr>
        <w:spacing w:before="120" w:after="120"/>
      </w:pPr>
      <w:r>
        <w:rPr>
          <w:rFonts w:ascii="Calibri" w:cs="Calibri" w:eastAsia="Calibri" w:hAnsi="Calibri"/>
          <w:sz w:val="21"/>
          <w:szCs w:val="21"/>
        </w:rPr>
        <w:t xml:space="preserve">LIMITES ET EXIGENCES AVANT OPÉRATION (v51) : (variante) la suite s'exécute en variante DEBUG (testDebugUnitTest) — exécuter aussi les tests de la variante RELEASE ou fournir une preuve d'équivalence ; tester l'APK RELEASE SIGNÉE (hash SHA-256 consigné) ; établir la correspondance exacte commit ↔ APK ↔ preuves (les modifications v51 doivent être COMMISES et le hash Git consigné au tableau de contrôle). (portée) La couverture chiffrée ne porte que sur le package soccer ; le package control (261 tests) contient des éléments critiques de la chaîne (mapping Virtual Stick, surveillance RC, SafetyLimits, snapshot, adaptateurs MSDK, gestion de l'arrêt) — ÉTENDRE la mesure de couverture à ces classes avant dépôt.</w:t>
      </w:r>
    </w:p>
    <w:p>
      <w:pPr>
        <w:spacing w:before="120" w:after="120"/>
      </w:pPr>
      <w:r>
        <w:rPr>
          <w:rFonts w:ascii="Calibri" w:cs="Calibri" w:eastAsia="Calibri" w:hAnsi="Calibri"/>
          <w:sz w:val="21"/>
          <w:szCs w:val="21"/>
        </w:rPr>
        <w:t xml:space="preserve">INDEX DES PREUVES JOINTES (fichier SÉPARÉ, non incorporé au présent document) : Preuves_Tests_Logiciels_2026-07-20.zip — contenu : 71 rapports JUnit XML (exécution v51 du 2026-07-20 : 696 tests, 0 échec, ≈ 14,0 s) + rapport HTML Gradle + rapport JaCoCo HTML/XML (mesure antérieure, à régénérer sur v51) ; taille : 504882 octets ; SHA-256 : 51af0ad8a21765ca617eb9e639117acad9084cee2b3bd8a7a4a73333f0f34b79 ; commit source : dfd8ce0 + modifications v51 (retrait du gate de la baseline altitude — hash Git à consigner après commit) ; type : preuves de tests unitaires JVM ; exigences couvertes : REQ-SAFE-001, REQ-CTRL-001, REQ-TIME-001, NC-T2-002/003/005 (partiel).</w:t>
      </w:r>
    </w:p>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DEUX preuves exhaustives (512 combinaisons chacune) : chemin HORIZONTAL — un seul cas (9 conditions toutes vraies) autorise la commande soccer ; baseline ALTITUDE — exactement 2 cas autorisent (8 conditions applicables vraies, bit gate 0 ou 1), la bascule du bit gate étant prouvée SANS EFFET sur chacune des 512 combinaisons. Le pilote gagne sur toutes les combinaisons ; l'urgence gagne sur tout sauf le pilote (vérifié dans les deux modes).</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7.3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Valeurs mesurées le 2026-07-20 (avant le retrait du gate, v51) — le rapport JaCoCo doit être RÉGÉNÉRÉ sur le code v51 (commande : .\gradlew jacocoSoccerReport) et les valeurs confirmées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86,0 % (mesuré)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71,6 % (mesuré)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87,0 % (mesuré)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82,9 % (mesuré)</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696 cas de test automatisés (NB : la couverture JaCoCo 86 %/71,6 % a été mesurée sur la suite au moment du rapport ; voir le manifeste des suites au §7 pour le décompte exact par environnement).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7.4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spacing w:after="120"/>
      </w:pPr>
      <w:r>
        <w:rPr>
          <w:rFonts w:ascii="Calibri" w:cs="Calibri" w:eastAsia="Calibri" w:hAnsi="Calibri"/>
          <w:sz w:val="21"/>
          <w:szCs w:val="21"/>
        </w:rPr>
        <w:t xml:space="preserve">E-03 — CARACTÉRISATION VIRTUAL STICK AU BANC (essai PRÉALABLE, à exécuter AVANT tout essai en vol). E-03 est un essai de banc/système, pas une simple mesure à ajouter lors d'un vol complet. Il doit caractériser au minimum : l'arrêt volontaire des appels Virtual Stick ; l'envoi répété de zéro ; la sortie explicite du mode Virtual Stick ; le gel du fil d'émission ; le plantage de l'application ; la fermeture forcée de l'application ; la perte de connexion MSDK ; la déconnexion de la radiocommande ; la dernière commande non nulle ; le délai jusqu'à la réaction du contrôleur de vol.</w:t>
      </w:r>
    </w:p>
    <w:p>
      <w:pPr>
        <w:spacing w:after="120"/>
      </w:pPr>
      <w:r>
        <w:rPr>
          <w:rFonts w:ascii="Calibri" w:cs="Calibri" w:eastAsia="Calibri" w:hAnsi="Calibri"/>
          <w:sz w:val="21"/>
          <w:szCs w:val="21"/>
        </w:rPr>
        <w:t xml:space="preserve">Les résultats E-03 ne valent que pour une CONFIGURATION FIGÉE : téléphone, version Android, application et hash APK, version MSDK, firmware drone, firmware radiocommande, modèle de radiocommande. Tout changement de configuration invalide les résultats et impose une re-caractérisation. CLASSIFICATION DES ESSAIS AU SOL DÉJÀ RÉALISÉS (E-01a/b, E-06, E-07, E-08, E-09) — environnement présent pendant l'essai : APK réelle OUI ; téléphone réel OUI ; radiocommande réelle OUI ; drone réel OUI ; MSDK réel OUI ; moteurs NON (coupés) ; hélices RETIRÉES ; preuve = commande reçue par le contrôleur de vol et journalisée (logs envoyerVitesses) ; mouvement physique : NON. Ces essais valident la LOGIQUE et la LIAISON, pas le comportement matériel final (essais moteurs et en vol distincts, à venir).</w:t>
      </w:r>
    </w:p>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P95 ≤ 160 ms ; P99 et MAX à borner par le buffer §4.2</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9.3.5 Arrêt d'urgence général (geste unique)</w:t>
      </w:r>
    </w:p>
    <w:p>
      <w:pPr>
        <w:spacing w:after="80" w:line="276"/>
      </w:pPr>
      <w:r>
        <w:rPr>
          <w:rFonts w:ascii="Calibri" w:cs="Calibri" w:eastAsia="Calibri" w:hAnsi="Calibri"/>
          <w:sz w:val="21"/>
          <w:szCs w:val="21"/>
        </w:rPr>
        <w:t xml:space="preserve">Barrière validée au sol le 2026-07-20 (essai E-08) : la logique applicative écarte la commande automatisée (émission neutralisée côté logiciel) ; l'efficacité et le délai de la reprise physique par le pilote restent à mesurer par E-12.</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 la demande logicielle de sortie du Virtual Stick est exécutée — son effet réel sur le système est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9.3.6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9.3.7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9.3.8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9.3.9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(§9.3.5)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9.3.10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(§9.3.10).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officiel SFOC-RPAS (numéro/révision à vérifier au téléchargement)</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depuis la page officielle TC « Événement annoncé », remplir et signer — À FAIRE. CONSIGNER à l'annexe administrative : numéro téléchargé ‹...› ; révision ‹...› ; date de téléchargement ‹...› ; SHA-256 ‹...› ; source officielle (URL)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 (numéro à re-vérifier avant diffusion)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 : À DÉTERMINER OFFICIELLEMENT au point et aux altitudes de l'opération (secteur YUL/CYHU, héliports — la proximité seule ne l'établit pas juridiquement). AVANT DÉPÔT : analyse d'espace aérien + extrait de carte à joindre. APRÈS DÉLIVRANCE DU SFOC, avant chaque opération : opération NAV Drone (catégorie SFOC), tâches de permission satisfaites, RPAS Operation Summary accepté conservé — bloquant pour le VOL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52.0,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officiel SFOC-RPAS (révision courante vérifiée au téléchargement) + pièces, à TC.RPASCentre-CentreSATP.TC@tc.gc.ca. Deux délais à ne pas confondre : (1) délai minimal de dépôt = AU MOINS 30 jours AVANT le début de l'opération ; (2) norme de service TC = 30 jours OUVRABLES (événement annoncé standard) ou 60 jours OUVRABLES (complexité moyenne/haute),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RÉSOLU v51 (retrait PROPRE, pas un false→true) : condition RETIRÉE du chemin baseline altitude (paramètre horizontalMotionRequested=false ; preuve d'indépendance du bit sur 512 combinaisons ; Emission2DGuardTest 26 cas, FlightCommandArbiterTest 29 cas). Reste condition DURE sur le chemin RAIL/horizontal (false, fail-closed). Aucun crédit d'évitement d'obstacles revendiqué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MAIS le battement et la vérification s'exécutent dans le MÊME fil : un gel de ce fil n'est pas couvert. Watchdog sur thread STRICTEMENT INDÉPENDANT = EXIGENCE BLOQUANTE (REQ-WDG-001), non une amélioration future. Contradiction à lever : l'absence de nouvelle émission ne prouve pas que le drone annule la dernière vitesse Virtual Stick (RPN 75, comportement inconnu — E-03 requis).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DÉFINIE dans le code : FlightControllerKey.KeyAircraftLocation3D (MSDK v5). RESTENT BLOQUANTS : précision mesurée + seuil, fréquence effective, référentiel d'altitude vérifié, seuil de saut admissible, critères de rejet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MIS À JOUR v51 : la condition obstacleGateAllows a été RETIRÉE du chemin d'émission de la baseline altitude — l'arbitre l'ignore quand horizontalMotionRequested=false, et la preuve exhaustive démontre que la décision est INDÉPENDANTE de ce bit sur les 512 combinaisons (bascule du bit sans effet, combinaison par combinaison). Le champ reste transmis à false et demeure une condition DURE du chemin RAIL/horizontal. L'émission réelle reste désactivée par SOCCER_2D_REAL_ENABLED=false jusqu'à E-03.</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FlightControllerKey.KeyAltitude (MSDK v5), altitude RELATIVE au point de décollage (PAS l'AGL terrain — écart à caractériser en E-03) ; unité = m ; fréquence effective = À MESURER ; âge max = à fixer (proposé 2 000 ms) ; invalide → throttle 0. CONTRAT BLOQUANT avant émission réelle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FlightControllerKey.KeyAircraftLocation3D (MSDK v5 ; lat/lon WGS-84 ; altitude relative au décollage incluse — référentiel exact à vérifier) ; PAS le RTK du sujet ; fréquence demandée 5 Hz (effective À MESURER) ; âge max 2 000 ms (RTK_AGE_MAX_S — à justifier) ; précision À MESURER + seuil de rejet à fixer (bloquant) ; saut admissible : seuil chiffré à fixer ; réaction : blocage documenté ; horloge monotone ; preuve : test TST/POS à créer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600 ms (YOLO_FRAIS_MS, constante du code)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classe CENTRALE des seuils de sécurité (le crédit de « source unique » n'est PAS acquis tant que la migration des consommateurs n'est pas terminée — voir RESTE ci-dessous)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(BLOQUANT pour le crédit de source unique) : migration INCOMPLÈTE — les constantes demeurent dupliquées dans Phase3Activity. Aucun crédit de source unique n'est accordé avant : suppression des valeurs dupliquées ; consommation de SafetyLimits par le pré-vol, l'arbitre et tous les contrôleurs ; garde empêchant la réintroduction de seuils dupliqués ; identifiant de configuration inscrit dans les journaux.</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Toute entrée native invalide — résultat nul, longueur incohérente, coordonnées hors image, confiance non finie ou classe inconnue — produit une liste de détections vide ; onSujet(false) est alors propagé jusqu'au SafetySnapshot, la condition actionFreshAndConfident devient fausse et l'émission est bloquée. Ce comportement est FAIL-CLOSED. Il doit néanmoins être vérifié de bout en bout, de JNI jusqu'au point d'émission. AUDIT FORMEL BLOQUANT (le moteur natif, les conversions YUV, les tableaux retournés et la gestion mémoire font partie du chemin de données de sécurité) — à mener même si le signe et les barrières sont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696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(EXIGENCE BLOQUANTE) : </w:t>
      </w:r>
      <w:r>
        <w:rPr>
          <w:rFonts w:ascii="Calibri" w:cs="Calibri" w:eastAsia="Calibri" w:hAnsi="Calibri"/>
          <w:sz w:val="21"/>
          <w:szCs w:val="21"/>
        </w:rPr>
        <w:t xml:space="preserve">le watchdog actuel détecte certains dépassements de délai tant que son fil continue de s'exécuter. Il ne détecte PAS un gel total de ce fil et ne démontre PAS la neutralisation de la dernière commande Virtual Stick. Un mécanisme indépendant capable de désarmer le mode, neutraliser la commande et demander la sortie du Virtual Stick est requis avant toute émission réelle (NC-T2-005).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FONCTION DÉMONTRÉE : détection d'un cycle trop ancien (battement &gt; 500 ms → consigne forcée à zéro) tant que le fil du watchdog s'exécute. LIMITE : le battement et la vérification vivent dans le MÊME fil — un gel TOTAL de ce fil n'est PAS détecté, et rien ne démontre la neutralisation physique de la dernière commande Virtual Stick. EXIGENCE OUVERTE (REQ-WDG-001, BLOQUANTE avant toute émission réelle) : mécanisme sur thread STRICTEMENT indépendant, capable de désarmer le mode, neutraliser la commande et demander la sortie du Virtual Stick ; mesurer aussi la tenue en fréquence dans la durée (thermique Android).</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condition APPLICABLE de l'arbitre est fausse (fail-closed) : 8 conditions en baseline altitude (gate hors périmètre, v51) ; 9 sur le chemin horizontal.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 tests directs + défaut inerte (13 dans l'ancien rapport historique)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§9.3.10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officiel SFOC-RPAS (numéro à vérifier) ; prévoir 30 OU 60 jours ouvrables selon la classification retenue par TC (événement annoncé standard : 30 j ouvrables ; complexité moyenne/haute : 60 j ouvrables), à compter d'un dossier complet et des frais requis.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officiel SFOC-RPAS (révision courante vérifiée),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Watchdog de CYCLE — FAIT (CommandeWatchdog : force la consigne à zéro sur perte de cycle, TANT QUE son propre fil s'exécute). Il ne détecte pas un gel total de ce fil et ne démontre pas la neutralisation physique de la dernière commande Virtual Stick. Watchdog sur thread STRICTEMENT INDÉPENDANT, capable de désarmer le mode, neutraliser la commande et demander la sortie du Virtual Stick = EXIGENCE BLOQUANTE (REQ-WDG-001) avant toute émission réelle — À FAIRE.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§4.2).</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À CONFIRMER PAR L'EXPLOITANT :.</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(numéro rapporté : 26-0835E — à vérifier),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v49 : la page officielle TC formule le critère notamment comme le vol À MOINS DE 30 m des limites de l'événement annoncé ; un RPAS maintenu à au moins 30 m de ces limites n'est pas nécessairement considéré comme volant « à l'événement » pour ce seul motif. Le périmètre officiel doit être cartographié et la distance calculée ; le scénario conservateur (SFOC demandé) reste retenu tant que cette démonstration n'est pas faite et confirmée par écrit par TC pour le scénario précis.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essais (fiches d'essai en vol, Annexe B), les pièces administratives et l'analyse d'espace aérien ne sont pas complétés, ce dossier reste une ÉBAUCHE non déposable, quelles que soient les signatures. Après délivrance du SFOC, l'opération NAV Drone acceptée (RPAS Operation Summary) constitue une condition préalable au VOL, non au dépôt initial.</w:t>
      </w:r>
    </w:p>
    <w:p>
      <w:pPr>
        <w:spacing w:before="240" w:after="120"/>
      </w:pPr>
      <w:r>
        <w:rPr>
          <w:rFonts w:ascii="Calibri" w:cs="Calibri" w:eastAsia="Calibri" w:hAnsi="Calibri"/>
          <w:sz w:val="21"/>
          <w:szCs w:val="21"/>
        </w:rPr>
        <w:t xml:space="preserve"> </w:t>
      </w:r>
    </w:p>
    <w:p>
      <w:pPr>
        <w:pStyle w:val="Heading2"/>
        <w:spacing w:after="100" w:before="200"/>
      </w:pPr>
      <w:r>
        <w:rPr>
          <w:rFonts w:ascii="Calibri" w:cs="Calibri" w:eastAsia="Calibri" w:hAnsi="Calibri"/>
          <w:b/>
          <w:bCs/>
          <w:color w:val="1F3864"/>
        </w:rPr>
        <w:t xml:space="preserve">Annexe — Rapport JUnit historique (SUPERSEDED : sous-ensemble soccer 26 classes / 278 cas ; décompte à jour au §7.1)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(v52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