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1F3864"/>
          <w:sz w:val="52"/>
          <w:szCs w:val="52"/>
        </w:rPr>
        <w:t xml:space="preserve">DOSSIER DE SÉCURITÉ</w:t>
      </w:r>
    </w:p>
    <w:p>
      <w:pPr>
        <w:spacing w:after="80"/>
        <w:jc w:val="center"/>
      </w:pPr>
      <w:r>
        <w:rPr>
          <w:rFonts w:ascii="Calibri" w:cs="Calibri" w:eastAsia="Calibri" w:hAnsi="Calibri"/>
          <w:color w:val="595959"/>
          <w:sz w:val="26"/>
          <w:szCs w:val="26"/>
        </w:rPr>
        <w:t xml:space="preserve">À l'appui d'une demande de</w:t>
      </w:r>
    </w:p>
    <w:p>
      <w:pPr>
        <w:spacing w:after="200"/>
        <w:jc w:val="center"/>
      </w:pPr>
      <w:r>
        <w:rPr>
          <w:rFonts w:ascii="Calibri" w:cs="Calibri" w:eastAsia="Calibri" w:hAnsi="Calibri"/>
          <w:b/>
          <w:bCs/>
          <w:color w:val="2E4A7A"/>
          <w:sz w:val="28"/>
          <w:szCs w:val="28"/>
        </w:rPr>
        <w:t xml:space="preserve">Certificat d'opérations aériennes spécialisées — SATP (SFOC-RPAS)</w:t>
      </w:r>
    </w:p>
    <w:p>
      <w:pPr>
        <w:spacing w:after="60"/>
        <w:jc w:val="center"/>
      </w:pPr>
      <w:r>
        <w:rPr>
          <w:rFonts w:ascii="Calibri" w:cs="Calibri" w:eastAsia="Calibri" w:hAnsi="Calibri"/>
          <w:b/>
          <w:bCs/>
          <w:color w:val="1F3864"/>
          <w:sz w:val="40"/>
          <w:szCs w:val="40"/>
        </w:rPr>
        <w:t xml:space="preserve">CineFlight Soccer</w:t>
      </w:r>
    </w:p>
    <w:p>
      <w:pPr>
        <w:spacing w:after="400"/>
        <w:jc w:val="center"/>
      </w:pPr>
      <w:r>
        <w:rPr>
          <w:rFonts w:ascii="Calibri" w:cs="Calibri" w:eastAsia="Calibri" w:hAnsi="Calibri"/>
          <w:i/>
          <w:iCs/>
          <w:color w:val="595959"/>
          <w:sz w:val="24"/>
          <w:szCs w:val="24"/>
        </w:rPr>
        <w:t xml:space="preserve">Système de captation vidéo autonome pour le soccer par aéronef télépiloté</w:t>
      </w:r>
    </w:p>
    <w:p>
      <w:pPr>
        <w:spacing w:after="80"/>
        <w:jc w:val="center"/>
      </w:pPr>
      <w:r>
        <w:rPr>
          <w:rFonts w:ascii="Calibri" w:cs="Calibri" w:eastAsia="Calibri" w:hAnsi="Calibri"/>
          <w:color w:val="595959"/>
          <w:sz w:val="22"/>
          <w:szCs w:val="22"/>
        </w:rPr>
        <w:t xml:space="preserve">Concept d'opérations (CONOPS) · Registre des risques · Plan d'essais · Procédures</w:t>
      </w:r>
    </w:p>
    <w:p>
      <w:pPr>
        <w:spacing w:after="40" w:before="600"/>
        <w:jc w:val="center"/>
      </w:pPr>
      <w:r>
        <w:rPr>
          <w:rFonts w:ascii="Calibri" w:cs="Calibri" w:eastAsia="Calibri" w:hAnsi="Calibri"/>
          <w:sz w:val="22"/>
          <w:szCs w:val="22"/>
        </w:rPr>
        <w:t xml:space="preserve">Exploitant : [À COMPLÉTER]</w:t>
      </w:r>
    </w:p>
    <w:p>
      <w:pPr>
        <w:spacing w:after="40"/>
        <w:jc w:val="center"/>
      </w:pPr>
      <w:r>
        <w:rPr>
          <w:rFonts w:ascii="Calibri" w:cs="Calibri" w:eastAsia="Calibri" w:hAnsi="Calibri"/>
          <w:sz w:val="22"/>
          <w:szCs w:val="22"/>
        </w:rPr>
        <w:t xml:space="preserve">Pilote responsable : [À COMPLÉTER]</w:t>
      </w:r>
    </w:p>
    <w:p>
      <w:pPr>
        <w:spacing w:after="40"/>
        <w:jc w:val="center"/>
      </w:pPr>
      <w:r>
        <w:rPr>
          <w:rFonts w:ascii="Calibri" w:cs="Calibri" w:eastAsia="Calibri" w:hAnsi="Calibri"/>
          <w:sz w:val="22"/>
          <w:szCs w:val="22"/>
        </w:rPr>
        <w:t xml:space="preserve">Version du dossier : 0.1 (ébauche) — 2026-07-20</w:t>
      </w:r>
    </w:p>
    <w:p>
      <w:pPr>
        <w:spacing w:after="40"/>
        <w:jc w:val="center"/>
      </w:pPr>
      <w:r>
        <w:rPr>
          <w:rFonts w:ascii="Calibri" w:cs="Calibri" w:eastAsia="Calibri" w:hAnsi="Calibri"/>
          <w:sz w:val="22"/>
          <w:szCs w:val="22"/>
        </w:rPr>
        <w:t xml:space="preserve">Autorité destinataire : Transports Canada — Centre SATP (RPAS)</w:t>
      </w:r>
    </w:p>
    <w:p>
      <w:pPr>
        <w:spacing w:after="40"/>
        <w:jc w:val="center"/>
      </w:pPr>
      <w:r>
        <w:rPr>
          <w:rFonts w:ascii="Calibri" w:cs="Calibri" w:eastAsia="Calibri" w:hAnsi="Calibri"/>
          <w:color w:val="2E4A7A"/>
          <w:sz w:val="20"/>
          <w:szCs w:val="20"/>
        </w:rPr>
        <w:t xml:space="preserve">TC.RPASCentre-CentreSATP.TC@tc.gc.ca</w:t>
      </w:r>
    </w:p>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sz w:val="21"/>
          <w:szCs w:val="21"/>
        </w:rPr>
        <w:t xml:space="preserve">Ce dossier est une </w:t>
      </w:r>
      <w:r>
        <w:rPr>
          <w:rFonts w:ascii="Calibri" w:cs="Calibri" w:eastAsia="Calibri" w:hAnsi="Calibri"/>
          <w:b/>
          <w:bCs/>
          <w:sz w:val="21"/>
          <w:szCs w:val="21"/>
        </w:rPr>
        <w:t xml:space="preserve">ébauche structurée</w:t>
      </w:r>
      <w:r>
        <w:rPr>
          <w:rFonts w:ascii="Calibri" w:cs="Calibri" w:eastAsia="Calibri" w:hAnsi="Calibri"/>
          <w:sz w:val="21"/>
          <w:szCs w:val="21"/>
        </w:rPr>
        <w:t xml:space="preserve"> destinée à être complétée par l'exploitant avant tout dépôt à Transports Canada. Les champs marqués </w:t>
      </w:r>
      <w:r>
        <w:rPr>
          <w:rFonts w:ascii="Calibri" w:cs="Calibri" w:eastAsia="Calibri" w:hAnsi="Calibri"/>
          <w:b/>
          <w:bCs/>
          <w:color w:val="C00000"/>
          <w:sz w:val="21"/>
          <w:szCs w:val="21"/>
        </w:rPr>
        <w:t xml:space="preserve">[À COMPLÉTER PAR L'EXPLOITANT]</w:t>
      </w:r>
      <w:r>
        <w:rPr>
          <w:rFonts w:ascii="Calibri" w:cs="Calibri" w:eastAsia="Calibri" w:hAnsi="Calibri"/>
          <w:sz w:val="21"/>
          <w:szCs w:val="21"/>
        </w:rPr>
        <w:t xml:space="preserve"> exigent des données propres à l'opération (lieu, dates, personnes, immatriculation, résultats d'essais). Aucune opération à moins de 30 m du périmètre d'un événement annoncé ne doit être menée avant l'obtention du SFOC-RPAS.</w:t>
      </w:r>
    </w:p>
    <w:p>
      <w:pPr>
        <w:spacing w:after="100" w:line="276"/>
      </w:pPr>
      <w:r>
        <w:rPr>
          <w:rFonts w:ascii="Calibri" w:cs="Calibri" w:eastAsia="Calibri" w:hAnsi="Calibri"/>
          <w:b/>
          <w:bCs/>
          <w:sz w:val="21"/>
          <w:szCs w:val="21"/>
        </w:rPr>
        <w:t xml:space="preserve">Exactitude réglementaire : </w:t>
      </w:r>
      <w:r>
        <w:rPr>
          <w:rFonts w:ascii="Calibri" w:cs="Calibri" w:eastAsia="Calibri" w:hAnsi="Calibri"/>
          <w:sz w:val="21"/>
          <w:szCs w:val="21"/>
        </w:rPr>
        <w:t xml:space="preserve">les exigences citées proviennent des pages officielles de Transports Canada consultées et datées dans la section Références. La réglementation évolue ; l'exploitant doit re-vérifier chaque exigence à la date du dépôt.</w:t>
      </w:r>
    </w:p>
    <w:p>
      <w:pPr>
        <w:spacing w:after="60"/>
      </w:pPr>
      <w:r>
        <w:rPr>
          <w:rFonts w:ascii="Calibri" w:cs="Calibri" w:eastAsia="Calibri" w:hAnsi="Calibri"/>
        </w:rPr>
        <w:t xml:space="preserve"/>
      </w:r>
    </w:p>
    <w:p>
      <w:pPr>
        <w:pStyle w:val="Heading1"/>
        <w:spacing w:after="140" w:before="280"/>
      </w:pPr>
      <w:r>
        <w:rPr>
          <w:rFonts w:ascii="Calibri" w:cs="Calibri" w:eastAsia="Calibri" w:hAnsi="Calibri"/>
          <w:b/>
          <w:bCs/>
          <w:color w:val="1F3864"/>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 système de captation vidéo autonome qui filme une partie de soccer à l'aide d'un aéronef télépiloté (RPA). La détection des joueurs s'appuie sur un réseau de vision (YOLO11, exécuté localement par le moteur NCNN sur le téléphone de la station de contrôle). Un module logiciel, le « réalisateur » (SoccerDirector), propose un cadrage cinématographique (altitude, décalage latéral, zoom optique lorsqu'il existe). Toute proposition de mouvement passe obligatoirement par un arbitre de sécurité indépendant (FlightCommandArbiter) et un double verrou logiciel avant d'être transmise au contrôleur de vol du drone.</w:t>
      </w:r>
    </w:p>
    <w:p>
      <w:pPr>
        <w:spacing w:after="100" w:line="276"/>
      </w:pPr>
      <w:r>
        <w:rPr>
          <w:rFonts w:ascii="Calibri" w:cs="Calibri" w:eastAsia="Calibri" w:hAnsi="Calibri"/>
          <w:sz w:val="21"/>
          <w:szCs w:val="21"/>
        </w:rPr>
        <w:t xml:space="preserve">Principe de sécurité fondamental : le système est « fail-closed ». Par défaut, aucune commande n'est émise vers le drone. L'émission réelle n'est possible que si plusieurs conditions cumulatives sont vraies simultanément, et le pilote conserve à tout instant la priorité absolue de reprise manuelle. L'architecture logicielle est couverte par 278 tests automatisés, dont une preuve exhaustive de l'arbitre sur les 512 combinaisons possibles de ses conditions de sécurité.</w:t>
      </w:r>
    </w:p>
    <w:p>
      <w:pPr>
        <w:spacing w:after="100" w:line="276"/>
      </w:pPr>
      <w:r>
        <w:rPr>
          <w:rFonts w:ascii="Calibri" w:cs="Calibri" w:eastAsia="Calibri" w:hAnsi="Calibri"/>
          <w:sz w:val="21"/>
          <w:szCs w:val="21"/>
        </w:rPr>
        <w:t xml:space="preserve">Ce dossier documente le concept d'opérations, la classification des personnes, l'admissibilité du drone, la description détaillée de la modification logicielle et de l'autorité de commande, un registre des risques, un plan d'essais avec critères de réussite, les procédures normales et d'urgence, et la liste des pièces administratives requises.</w:t>
      </w:r>
    </w:p>
    <w:p>
      <w:pPr>
        <w:pStyle w:val="Heading2"/>
        <w:spacing w:after="100" w:before="200"/>
      </w:pPr>
      <w:r>
        <w:rPr>
          <w:rFonts w:ascii="Calibri" w:cs="Calibri" w:eastAsia="Calibri" w:hAnsi="Calibri"/>
          <w:b/>
          <w:bCs/>
          <w:color w:val="1F3864"/>
        </w:rPr>
        <w:t xml:space="preserve">0.1 Cadre réglementaire applicable (synthèse)</w:t>
      </w:r>
    </w:p>
    <w:p>
      <w:pPr>
        <w:pStyle w:val="ListParagraph"/>
        <w:numPr>
          <w:ilvl w:val="0"/>
          <w:numId w:val="1"/>
        </w:numPr>
        <w:spacing w:after="60" w:line="270"/>
      </w:pPr>
      <w:r>
        <w:rPr>
          <w:rFonts w:ascii="Calibri" w:cs="Calibri" w:eastAsia="Calibri" w:hAnsi="Calibri"/>
          <w:b/>
          <w:bCs/>
          <w:sz w:val="21"/>
          <w:szCs w:val="21"/>
        </w:rPr>
        <w:t xml:space="preserve">Événement annoncé : </w:t>
      </w:r>
      <w:r>
        <w:rPr>
          <w:rFonts w:ascii="Calibri" w:cs="Calibri" w:eastAsia="Calibri" w:hAnsi="Calibri"/>
          <w:sz w:val="21"/>
          <w:szCs w:val="21"/>
        </w:rPr>
        <w:t xml:space="preserve">pour filmer un événement extérieur annoncé au public (dont un événement sportif) en volant à moins de 30 m (100 pi) du périmètre, un SFOC-RPAS pour événement annoncé est requis — y compris pour un microdrone de moins de 250 g (exigence étendue aux microdrones depuis le 1er avril 2025).</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depuis le 4 novembre 2025, toute demande de SFOC-RPAS est assujettie à des frais (sauf organismes gouvernementaux d'intervention d'urgence).</w:t>
      </w:r>
    </w:p>
    <w:p>
      <w:pPr>
        <w:pStyle w:val="ListParagraph"/>
        <w:numPr>
          <w:ilvl w:val="0"/>
          <w:numId w:val="1"/>
        </w:numPr>
        <w:spacing w:after="60" w:line="270"/>
      </w:pPr>
      <w:r>
        <w:rPr>
          <w:rFonts w:ascii="Calibri" w:cs="Calibri" w:eastAsia="Calibri" w:hAnsi="Calibri"/>
          <w:b/>
          <w:bCs/>
          <w:sz w:val="21"/>
          <w:szCs w:val="21"/>
        </w:rPr>
        <w:t xml:space="preserve">Drone de 250 g ou plus : </w:t>
      </w:r>
      <w:r>
        <w:rPr>
          <w:rFonts w:ascii="Calibri" w:cs="Calibri" w:eastAsia="Calibri" w:hAnsi="Calibri"/>
          <w:sz w:val="21"/>
          <w:szCs w:val="21"/>
        </w:rPr>
        <w:t xml:space="preserve">certificat de pilote pour opérations avancées, drone immatriculé, et déclarations d'assurance de sécurité applicables (norme 922.05 « près des personnes » et, le cas échéant, 922.06 « au-dessus des personnes »).</w:t>
      </w:r>
    </w:p>
    <w:p>
      <w:pPr>
        <w:pStyle w:val="ListParagraph"/>
        <w:numPr>
          <w:ilvl w:val="0"/>
          <w:numId w:val="1"/>
        </w:numPr>
        <w:spacing w:after="60" w:line="270"/>
      </w:pPr>
      <w:r>
        <w:rPr>
          <w:rFonts w:ascii="Calibri" w:cs="Calibri" w:eastAsia="Calibri" w:hAnsi="Calibri"/>
          <w:b/>
          <w:bCs/>
          <w:sz w:val="21"/>
          <w:szCs w:val="21"/>
        </w:rPr>
        <w:t xml:space="preserve">Délai de service : </w:t>
      </w:r>
      <w:r>
        <w:rPr>
          <w:rFonts w:ascii="Calibri" w:cs="Calibri" w:eastAsia="Calibri" w:hAnsi="Calibri"/>
          <w:sz w:val="21"/>
          <w:szCs w:val="21"/>
        </w:rPr>
        <w:t xml:space="preserve">jusqu'à 30 jours ouvrables après réception d'une demande complète ; une demande incomplète allonge le délai.</w:t>
      </w:r>
    </w:p>
    <w:p>
      <w:pPr>
        <w:pStyle w:val="ListParagraph"/>
        <w:numPr>
          <w:ilvl w:val="0"/>
          <w:numId w:val="1"/>
        </w:numPr>
        <w:spacing w:after="60" w:line="270"/>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de demande de SFOC + pièces, par courriel au Centre SATP (RPAS) : TC.RPASCentre-CentreSATP.TC@tc.gc.ca.</w:t>
      </w:r>
    </w:p>
    <w:p>
      <w:pPr>
        <w:pStyle w:val="Heading2"/>
        <w:spacing w:after="100" w:before="200"/>
      </w:pPr>
      <w:r>
        <w:rPr>
          <w:rFonts w:ascii="Calibri" w:cs="Calibri" w:eastAsia="Calibri" w:hAnsi="Calibri"/>
          <w:b/>
          <w:bCs/>
          <w:color w:val="1F3864"/>
        </w:rPr>
        <w:t xml:space="preserve">0.2 État d'avancement du dossier (auto-évaluation)</w:t>
      </w:r>
    </w:p>
    <w:p>
      <w:pPr>
        <w:spacing w:after="100" w:line="276"/>
      </w:pPr>
      <w:r>
        <w:rPr>
          <w:rFonts w:ascii="Calibri" w:cs="Calibri" w:eastAsia="Calibri" w:hAnsi="Calibri"/>
          <w:sz w:val="21"/>
          <w:szCs w:val="21"/>
        </w:rPr>
        <w:t xml:space="preserve">Estimation de complétude par bloc, pour guider l'exploitant vers un dossier déposable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1800"/>
        <w:gridCol w:w="1960"/>
      </w:tblGrid>
      <w:tr>
        <w:trPr>
          <w:tblHeader/>
        </w:trPr>
        <w:tc>
          <w:tcPr>
            <w:tcW w:type="dxa" w:w="560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Bloc du dossier</w:t>
            </w:r>
          </w:p>
        </w:tc>
        <w:tc>
          <w:tcPr>
            <w:tcW w:type="dxa" w:w="180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Complétude</w:t>
            </w:r>
          </w:p>
        </w:tc>
        <w:tc>
          <w:tcPr>
            <w:tcW w:type="dxa" w:w="196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Nature du reste à faire</w:t>
            </w:r>
          </w:p>
        </w:tc>
      </w:tr>
      <w:tr>
        <w:tc>
          <w:tcPr>
            <w:tcW w:type="dxa" w:w="5600"/>
            <w:shd w:fill="E2EFDA"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Architecture logicielle</w:t>
            </w:r>
          </w:p>
        </w:tc>
        <w:tc>
          <w:tcPr>
            <w:tcW w:type="dxa" w:w="1800"/>
            <w:shd w:fill="E2EFDA"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 80 %</w:t>
            </w:r>
          </w:p>
        </w:tc>
        <w:tc>
          <w:tcPr>
            <w:tcW w:type="dxa" w:w="1960"/>
            <w:shd w:fill="E2EFDA"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Documentée + testée</w:t>
            </w:r>
          </w:p>
        </w:tc>
      </w:tr>
      <w:tr>
        <w:tc>
          <w:tcPr>
            <w:tcW w:type="dxa" w:w="5600"/>
            <w:shd w:fill="E2EFDA"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Mécanismes de sécurité (arbitre, verrous)</w:t>
            </w:r>
          </w:p>
        </w:tc>
        <w:tc>
          <w:tcPr>
            <w:tcW w:type="dxa" w:w="1800"/>
            <w:shd w:fill="E2EFDA"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 70 %</w:t>
            </w:r>
          </w:p>
        </w:tc>
        <w:tc>
          <w:tcPr>
            <w:tcW w:type="dxa" w:w="1960"/>
            <w:shd w:fill="E2EFDA"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Testés ; à démontrer en vol</w:t>
            </w:r>
          </w:p>
        </w:tc>
      </w:tr>
      <w:tr>
        <w:tc>
          <w:tcPr>
            <w:tcW w:type="dxa" w:w="560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Analyse formelle des risques</w:t>
            </w:r>
          </w:p>
        </w:tc>
        <w:tc>
          <w:tcPr>
            <w:tcW w:type="dxa" w:w="180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 40 %</w:t>
            </w:r>
          </w:p>
        </w:tc>
        <w:tc>
          <w:tcPr>
            <w:tcW w:type="dxa" w:w="196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Registre fourni ; probabilités/gravités à valider</w:t>
            </w:r>
          </w:p>
        </w:tc>
      </w:tr>
      <w:tr>
        <w:tc>
          <w:tcPr>
            <w:tcW w:type="dxa" w:w="560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Preuves d'essais</w:t>
            </w:r>
          </w:p>
        </w:tc>
        <w:tc>
          <w:tcPr>
            <w:tcW w:type="dxa" w:w="180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 25 %</w:t>
            </w:r>
          </w:p>
        </w:tc>
        <w:tc>
          <w:tcPr>
            <w:tcW w:type="dxa" w:w="196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Tests logiciels faits ; essais terrain à mener</w:t>
            </w:r>
          </w:p>
        </w:tc>
      </w:tr>
      <w:tr>
        <w:tc>
          <w:tcPr>
            <w:tcW w:type="dxa" w:w="560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Procédures opérationnelles</w:t>
            </w:r>
          </w:p>
        </w:tc>
        <w:tc>
          <w:tcPr>
            <w:tcW w:type="dxa" w:w="180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 45 %</w:t>
            </w:r>
          </w:p>
        </w:tc>
        <w:tc>
          <w:tcPr>
            <w:tcW w:type="dxa" w:w="196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Trames fournies ; à finaliser par site</w:t>
            </w:r>
          </w:p>
        </w:tc>
      </w:tr>
      <w:tr>
        <w:tc>
          <w:tcPr>
            <w:tcW w:type="dxa" w:w="560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Données propres au terrain</w:t>
            </w:r>
          </w:p>
        </w:tc>
        <w:tc>
          <w:tcPr>
            <w:tcW w:type="dxa" w:w="180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 10 %</w:t>
            </w:r>
          </w:p>
        </w:tc>
        <w:tc>
          <w:tcPr>
            <w:tcW w:type="dxa" w:w="196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renseigner (lieu, espace aérien, plan)</w:t>
            </w:r>
          </w:p>
        </w:tc>
      </w:tr>
      <w:tr>
        <w:tc>
          <w:tcPr>
            <w:tcW w:type="dxa" w:w="560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Pièces administratives</w:t>
            </w:r>
          </w:p>
        </w:tc>
        <w:tc>
          <w:tcPr>
            <w:tcW w:type="dxa" w:w="180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 10 %</w:t>
            </w:r>
          </w:p>
        </w:tc>
        <w:tc>
          <w:tcPr>
            <w:tcW w:type="dxa" w:w="196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rassembler (formulaire, permissions, assurance)</w:t>
            </w:r>
          </w:p>
        </w:tc>
      </w:tr>
      <w:tr>
        <w:tc>
          <w:tcPr>
            <w:tcW w:type="dxa" w:w="5600"/>
            <w:shd w:fill="D9E2F3"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DOSSIER GLOBAL prêt à déposer</w:t>
            </w:r>
          </w:p>
        </w:tc>
        <w:tc>
          <w:tcPr>
            <w:tcW w:type="dxa" w:w="1800"/>
            <w:shd w:fill="D9E2F3"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 40 %</w:t>
            </w:r>
          </w:p>
        </w:tc>
        <w:tc>
          <w:tcPr>
            <w:tcW w:type="dxa" w:w="1960"/>
            <w:shd w:fill="D9E2F3"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CONOPS + risques + essais = priorité</w:t>
            </w:r>
          </w:p>
        </w:tc>
      </w:tr>
    </w:tbl>
    <w:p>
      <w:r>
        <w:br w:type="page"/>
      </w:r>
    </w:p>
    <w:p>
      <w:pPr>
        <w:pStyle w:val="Heading1"/>
        <w:spacing w:after="140" w:before="280"/>
      </w:pPr>
      <w:r>
        <w:rPr>
          <w:rFonts w:ascii="Calibri" w:cs="Calibri" w:eastAsia="Calibri" w:hAnsi="Calibri"/>
          <w:b/>
          <w:bCs/>
          <w:color w:val="1F3864"/>
        </w:rPr>
        <w:t xml:space="preserve">1. Concept d'opérations (CONOPS)</w:t>
      </w:r>
    </w:p>
    <w:p>
      <w:pPr>
        <w:spacing w:after="100" w:line="276"/>
      </w:pPr>
      <w:r>
        <w:rPr>
          <w:rFonts w:ascii="Calibri" w:cs="Calibri" w:eastAsia="Calibri" w:hAnsi="Calibri"/>
          <w:sz w:val="21"/>
          <w:szCs w:val="21"/>
        </w:rPr>
        <w:t xml:space="preserve">Le SFOC est délivré pour un objectif, un lieu, une période et des conditions précis. Un concept général ne suffit pas : les champs ci-dessous doivent être renseignés sans ambiguïté pour l'opération réellement demandée.</w:t>
      </w:r>
    </w:p>
    <w:p>
      <w:pPr>
        <w:pStyle w:val="Heading2"/>
        <w:spacing w:after="100" w:before="200"/>
      </w:pPr>
      <w:r>
        <w:rPr>
          <w:rFonts w:ascii="Calibri" w:cs="Calibri" w:eastAsia="Calibri" w:hAnsi="Calibri"/>
          <w:b/>
          <w:bCs/>
          <w:color w:val="1F3864"/>
        </w:rPr>
        <w:t xml:space="preserve">1.1 Objet de l'opération</w:t>
      </w:r>
    </w:p>
    <w:p>
      <w:pPr>
        <w:spacing w:after="100" w:line="276"/>
      </w:pPr>
      <w:r>
        <w:rPr>
          <w:rFonts w:ascii="Calibri" w:cs="Calibri" w:eastAsia="Calibri" w:hAnsi="Calibri"/>
          <w:sz w:val="21"/>
          <w:szCs w:val="21"/>
        </w:rPr>
        <w:t xml:space="preserve">Captation vidéo aérienne d'une partie de soccer à des fins de production/diffusion, au moyen d'un RPA en visibilité directe (VLOS) en permanence, la trajectoire de cadrage étant proposée par le logiciel CineFlight et validée par l'arbitre de sécurité, sous supervision du pilote.</w:t>
      </w:r>
    </w:p>
    <w:p>
      <w:pPr>
        <w:pStyle w:val="Heading2"/>
        <w:spacing w:after="100" w:before="200"/>
      </w:pPr>
      <w:r>
        <w:rPr>
          <w:rFonts w:ascii="Calibri" w:cs="Calibri" w:eastAsia="Calibri" w:hAnsi="Calibri"/>
          <w:b/>
          <w:bCs/>
          <w:color w:val="1F3864"/>
        </w:rPr>
        <w:t xml:space="preserve">1.2 Paramètres de l'opération demandée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Paramètre</w:t>
            </w:r>
          </w:p>
        </w:tc>
        <w:tc>
          <w:tcPr>
            <w:tcW w:type="dxa" w:w="516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Valeur pour la demande</w:t>
            </w:r>
          </w:p>
        </w:tc>
      </w:tr>
      <w:tr>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Type d'événement</w:t>
            </w:r>
          </w:p>
        </w:tc>
        <w:tc>
          <w:tcPr>
            <w:tcW w:type="dxa" w:w="5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 : match privé / entraînement / match amateur / événement annoncé au public]</w:t>
            </w:r>
          </w:p>
        </w:tc>
      </w:tr>
      <w:tr>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Présence de spectateurs</w:t>
            </w:r>
          </w:p>
        </w:tc>
        <w:tc>
          <w:tcPr>
            <w:tcW w:type="dxa" w:w="5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 : oui/non ; nombre maximal estimé]</w:t>
            </w:r>
          </w:p>
        </w:tc>
      </w:tr>
      <w:tr>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Nombre maximal de joueurs</w:t>
            </w:r>
          </w:p>
        </w:tc>
        <w:tc>
          <w:tcPr>
            <w:tcW w:type="dxa" w:w="5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w:t>
            </w:r>
          </w:p>
        </w:tc>
      </w:tr>
      <w:tr>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Position de vol</w:t>
            </w:r>
          </w:p>
        </w:tc>
        <w:tc>
          <w:tcPr>
            <w:tcW w:type="dxa" w:w="5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 : à côté du terrain / au-dessus du terrain]</w:t>
            </w:r>
          </w:p>
        </w:tc>
      </w:tr>
      <w:tr>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Distance minimale aux personnes non participantes</w:t>
            </w:r>
          </w:p>
        </w:tc>
        <w:tc>
          <w:tcPr>
            <w:tcW w:type="dxa" w:w="5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 : ex. ≥ 30 m ; ou 5–30 m avec déclaration 922.05 ; ou &lt; 5 m avec 922.06]</w:t>
            </w:r>
          </w:p>
        </w:tc>
      </w:tr>
      <w:tr>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Plage d'altitude prévue</w:t>
            </w:r>
          </w:p>
        </w:tc>
        <w:tc>
          <w:tcPr>
            <w:tcW w:type="dxa" w:w="5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 : ex. 15–35 m AGL] (le logiciel plafonne à 35 m — voir §4)</w:t>
            </w:r>
          </w:p>
        </w:tc>
      </w:tr>
      <w:tr>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Altitude maximale autorisée</w:t>
            </w:r>
          </w:p>
        </w:tc>
        <w:tc>
          <w:tcPr>
            <w:tcW w:type="dxa" w:w="5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 : ≤ 122 m AGL sauf autorisation ; plafond logiciel 35 m]</w:t>
            </w:r>
          </w:p>
        </w:tc>
      </w:tr>
      <w:tr>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Durée et nombre de vols</w:t>
            </w:r>
          </w:p>
        </w:tc>
        <w:tc>
          <w:tcPr>
            <w:tcW w:type="dxa" w:w="5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 : ex. 2 vols de 20 min par mi-temps]</w:t>
            </w:r>
          </w:p>
        </w:tc>
      </w:tr>
      <w:tr>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VLOS</w:t>
            </w:r>
          </w:p>
        </w:tc>
        <w:tc>
          <w:tcPr>
            <w:tcW w:type="dxa" w:w="5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Maintenue en permanence par le pilote (et par les observateurs visuels le cas échéant)</w:t>
            </w:r>
          </w:p>
        </w:tc>
      </w:tr>
      <w:tr>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Emplacement du pilote</w:t>
            </w:r>
          </w:p>
        </w:tc>
        <w:tc>
          <w:tcPr>
            <w:tcW w:type="dxa" w:w="5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 : point fixe, dégagé, avec vue sur tout le volume de vol]</w:t>
            </w:r>
          </w:p>
        </w:tc>
      </w:tr>
      <w:tr>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Observateurs visuels</w:t>
            </w:r>
          </w:p>
        </w:tc>
        <w:tc>
          <w:tcPr>
            <w:tcW w:type="dxa" w:w="5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 : nombre, positions, moyen de communication]</w:t>
            </w:r>
          </w:p>
        </w:tc>
      </w:tr>
      <w:tr>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Dates et heures demandées</w:t>
            </w:r>
          </w:p>
        </w:tc>
        <w:tc>
          <w:tcPr>
            <w:tcW w:type="dxa" w:w="5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w:t>
            </w:r>
          </w:p>
        </w:tc>
      </w:tr>
    </w:tbl>
    <w:p>
      <w:pPr>
        <w:pStyle w:val="Heading2"/>
        <w:spacing w:after="100" w:before="200"/>
      </w:pPr>
      <w:r>
        <w:rPr>
          <w:rFonts w:ascii="Calibri" w:cs="Calibri" w:eastAsia="Calibri" w:hAnsi="Calibri"/>
          <w:b/>
          <w:bCs/>
          <w:color w:val="1F3864"/>
        </w:rPr>
        <w:t xml:space="preserve">1.3 Volume de vol et géorepérage</w:t>
      </w:r>
    </w:p>
    <w:p>
      <w:pPr>
        <w:spacing w:after="100" w:line="276"/>
      </w:pPr>
      <w:r>
        <w:rPr>
          <w:rFonts w:ascii="Calibri" w:cs="Calibri" w:eastAsia="Calibri" w:hAnsi="Calibri"/>
          <w:sz w:val="21"/>
          <w:szCs w:val="21"/>
        </w:rPr>
        <w:t xml:space="preserve">Le volume de vol est délimité par le polygone du terrain défini dans l'outil Web CineFlight et transmis au drone. Le logiciel applique un géorepérage : la position visée est bornée à l'intérieur du polygone du terrain (composant TerrainGeofence, algorithme point-dans-polygone). Une garde de proximité vérifie en outre que le point de décollage de l'opérateur est à moins de 200 m du rail/terrain (VLOS).</w:t>
      </w:r>
    </w:p>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Joindre en annexe : plan à l'échelle du terrain, coordonnées du polygone, position du pilote et des observateurs, zones de décollage/atterrissage et zone d'atterrissage d'urgence, carte de l'espace aérien et classe d'espace, aérodromes et héliports dans un rayon pertinent.</w:t>
      </w:r>
    </w:p>
    <w:p>
      <w:pPr>
        <w:pStyle w:val="Heading2"/>
        <w:spacing w:after="100" w:before="200"/>
      </w:pPr>
      <w:r>
        <w:rPr>
          <w:rFonts w:ascii="Calibri" w:cs="Calibri" w:eastAsia="Calibri" w:hAnsi="Calibri"/>
          <w:b/>
          <w:bCs/>
          <w:color w:val="1F3864"/>
        </w:rPr>
        <w:t xml:space="preserve">1.4 Espace aérien</w:t>
      </w:r>
    </w:p>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Renseigner : classe d'espace aérien au-dessus du site, proximité d'aérodromes/héliports/zones réglementées, altitude plancher/plafond autorisée, NOTAM applicables, et tout besoin de coordination.</w:t>
      </w:r>
    </w:p>
    <w:p>
      <w:r>
        <w:br w:type="page"/>
      </w:r>
    </w:p>
    <w:p>
      <w:pPr>
        <w:pStyle w:val="Heading1"/>
        <w:spacing w:after="140" w:before="280"/>
      </w:pPr>
      <w:r>
        <w:rPr>
          <w:rFonts w:ascii="Calibri" w:cs="Calibri" w:eastAsia="Calibri" w:hAnsi="Calibri"/>
          <w:b/>
          <w:bCs/>
          <w:color w:val="1F3864"/>
        </w:rPr>
        <w:t xml:space="preserve">2. Classification des personnes présentes</w:t>
      </w:r>
    </w:p>
    <w:p>
      <w:pPr>
        <w:spacing w:after="100" w:line="276"/>
      </w:pPr>
      <w:r>
        <w:rPr>
          <w:rFonts w:ascii="Calibri" w:cs="Calibri" w:eastAsia="Calibri" w:hAnsi="Calibri"/>
          <w:sz w:val="21"/>
          <w:szCs w:val="21"/>
        </w:rPr>
        <w:t xml:space="preserve">La distinction entre membres d'équipage / personnes participant directement à l'opération et personnes non participantes détermine les distances minimales et les déclarations de drone requises. Le simple consentement d'un joueur ne le rend pas automatiquement « membre d'équipage » : ce point doit être présenté prudemment à Transports Canada.</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Catégorie</w:t>
            </w:r>
          </w:p>
        </w:tc>
        <w:tc>
          <w:tcPr>
            <w:tcW w:type="dxa" w:w="330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Rôle dans l'opération</w:t>
            </w:r>
          </w:p>
        </w:tc>
        <w:tc>
          <w:tcPr>
            <w:tcW w:type="dxa" w:w="346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Statut proposé (à valider par TC)</w:t>
            </w:r>
          </w:p>
        </w:tc>
      </w:tr>
      <w:tr>
        <w:tc>
          <w:tcPr>
            <w:tcW w:type="dxa" w:w="2600"/>
            <w:shd w:fill="E2EFDA"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Pilote (PIC)</w:t>
            </w:r>
          </w:p>
        </w:tc>
        <w:tc>
          <w:tcPr>
            <w:tcW w:type="dxa" w:w="3300"/>
            <w:shd w:fill="E2EFDA"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Autorité finale, reprise manuelle</w:t>
            </w:r>
          </w:p>
        </w:tc>
        <w:tc>
          <w:tcPr>
            <w:tcW w:type="dxa" w:w="3460"/>
            <w:shd w:fill="E2EFDA"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Membre d'équipage</w:t>
            </w:r>
          </w:p>
        </w:tc>
      </w:tr>
      <w:tr>
        <w:tc>
          <w:tcPr>
            <w:tcW w:type="dxa" w:w="2600"/>
            <w:shd w:fill="E2EFDA"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Observateur(s) visuel(s)</w:t>
            </w:r>
          </w:p>
        </w:tc>
        <w:tc>
          <w:tcPr>
            <w:tcW w:type="dxa" w:w="3300"/>
            <w:shd w:fill="E2EFDA"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Maintien VLOS, alerte dangers</w:t>
            </w:r>
          </w:p>
        </w:tc>
        <w:tc>
          <w:tcPr>
            <w:tcW w:type="dxa" w:w="3460"/>
            <w:shd w:fill="E2EFDA"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Membre d'équipage</w:t>
            </w:r>
          </w:p>
        </w:tc>
      </w:tr>
      <w:tr>
        <w:tc>
          <w:tcPr>
            <w:tcW w:type="dxa" w:w="2600"/>
            <w:shd w:fill="E2EFDA"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Personnel technique CineFlight</w:t>
            </w:r>
          </w:p>
        </w:tc>
        <w:tc>
          <w:tcPr>
            <w:tcW w:type="dxa" w:w="3300"/>
            <w:shd w:fill="E2EFDA"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Station de contrôle, supervision logicielle</w:t>
            </w:r>
          </w:p>
        </w:tc>
        <w:tc>
          <w:tcPr>
            <w:tcW w:type="dxa" w:w="3460"/>
            <w:shd w:fill="E2EFDA"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Membre d'équipage / participant direct</w:t>
            </w:r>
          </w:p>
        </w:tc>
      </w:tr>
      <w:tr>
        <w:tc>
          <w:tcPr>
            <w:tcW w:type="dxa" w:w="260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Joueurs</w:t>
            </w:r>
          </w:p>
        </w:tc>
        <w:tc>
          <w:tcPr>
            <w:tcW w:type="dxa" w:w="330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Sujets filmés, informés et consentants</w:t>
            </w:r>
          </w:p>
        </w:tc>
        <w:tc>
          <w:tcPr>
            <w:tcW w:type="dxa" w:w="346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Participant potentiel — statut à confirmer avec TC ; ne pas présumer</w:t>
            </w:r>
          </w:p>
        </w:tc>
      </w:tr>
      <w:tr>
        <w:tc>
          <w:tcPr>
            <w:tcW w:type="dxa" w:w="260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Arbitres, entraîneurs</w:t>
            </w:r>
          </w:p>
        </w:tc>
        <w:tc>
          <w:tcPr>
            <w:tcW w:type="dxa" w:w="330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Sur le terrain</w:t>
            </w:r>
          </w:p>
        </w:tc>
        <w:tc>
          <w:tcPr>
            <w:tcW w:type="dxa" w:w="346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confirmer ; probablement non participants sauf breffés</w:t>
            </w:r>
          </w:p>
        </w:tc>
      </w:tr>
      <w:tr>
        <w:tc>
          <w:tcPr>
            <w:tcW w:type="dxa" w:w="260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Spectateurs</w:t>
            </w:r>
          </w:p>
        </w:tc>
        <w:tc>
          <w:tcPr>
            <w:tcW w:type="dxa" w:w="330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Public</w:t>
            </w:r>
          </w:p>
        </w:tc>
        <w:tc>
          <w:tcPr>
            <w:tcW w:type="dxa" w:w="346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Personnes non participantes — distances 922.05/922.06 applicables</w:t>
            </w:r>
          </w:p>
        </w:tc>
      </w:tr>
      <w:tr>
        <w:tc>
          <w:tcPr>
            <w:tcW w:type="dxa" w:w="260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Personnes extérieures</w:t>
            </w:r>
          </w:p>
        </w:tc>
        <w:tc>
          <w:tcPr>
            <w:tcW w:type="dxa" w:w="330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Hors opération</w:t>
            </w:r>
          </w:p>
        </w:tc>
        <w:tc>
          <w:tcPr>
            <w:tcW w:type="dxa" w:w="3460"/>
            <w:shd w:fill="FCE4D6"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Non participantes — à protéger par périmètre/distances</w:t>
            </w:r>
          </w:p>
        </w:tc>
      </w:tr>
    </w:tbl>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Décrire le breffage et le consentement écrit des joueurs/arbitres, et la mesure concrète de séparation des spectateurs (clôtures, périmètre, distances).</w:t>
      </w:r>
    </w:p>
    <w:p>
      <w:r>
        <w:br w:type="page"/>
      </w:r>
    </w:p>
    <w:p>
      <w:pPr>
        <w:pStyle w:val="Heading1"/>
        <w:spacing w:after="140" w:before="280"/>
      </w:pPr>
      <w:r>
        <w:rPr>
          <w:rFonts w:ascii="Calibri" w:cs="Calibri" w:eastAsia="Calibri" w:hAnsi="Calibri"/>
          <w:b/>
          <w:bCs/>
          <w:color w:val="1F3864"/>
        </w:rPr>
        <w:t xml:space="preserve">3. Admissibilité et description du RPAS</w:t>
      </w:r>
    </w:p>
    <w:p>
      <w:pPr>
        <w:spacing w:after="100" w:line="276"/>
      </w:pPr>
      <w:r>
        <w:rPr>
          <w:rFonts w:ascii="Calibri" w:cs="Calibri" w:eastAsia="Calibri" w:hAnsi="Calibri"/>
          <w:sz w:val="21"/>
          <w:szCs w:val="21"/>
        </w:rPr>
        <w:t xml:space="preserve">Un RPAS ne devient pas admissible aux opérations près/au-dessus des personnes par le seul effet d'un rapport logiciel : la déclaration d'assurance de sécurité applicable (norme 922) doit exister pour le modèle. Les éléments pouvant influencer la sécurité du vol — dont la station de contrôle et les liaisons — peuvent être considérés comme faisant partie du RPAS dans l'analyse de conformité.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Élément</w:t>
            </w:r>
          </w:p>
        </w:tc>
        <w:tc>
          <w:tcPr>
            <w:tcW w:type="dxa" w:w="516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Valeur</w:t>
            </w:r>
          </w:p>
        </w:tc>
      </w:tr>
      <w:tr>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Fabricant et modèle</w:t>
            </w:r>
          </w:p>
        </w:tc>
        <w:tc>
          <w:tcPr>
            <w:tcW w:type="dxa" w:w="5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 — ex. DJI Mini 4 Pro]</w:t>
            </w:r>
          </w:p>
        </w:tc>
      </w:tr>
      <w:tr>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Masse opérationnelle (avec accessoires)</w:t>
            </w:r>
          </w:p>
        </w:tc>
        <w:tc>
          <w:tcPr>
            <w:tcW w:type="dxa" w:w="5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 — g]</w:t>
            </w:r>
          </w:p>
        </w:tc>
      </w:tr>
      <w:tr>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Numéro d'immatriculation TC (si ≥ 250 g)</w:t>
            </w:r>
          </w:p>
        </w:tc>
        <w:tc>
          <w:tcPr>
            <w:tcW w:type="dxa" w:w="5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w:t>
            </w:r>
          </w:p>
        </w:tc>
      </w:tr>
      <w:tr>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Déclaration 922.05 « près des personnes »</w:t>
            </w:r>
          </w:p>
        </w:tc>
        <w:tc>
          <w:tcPr>
            <w:tcW w:type="dxa" w:w="5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 : présente ? référence]</w:t>
            </w:r>
          </w:p>
        </w:tc>
      </w:tr>
      <w:tr>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Déclaration 922.06 « au-dessus des personnes »</w:t>
            </w:r>
          </w:p>
        </w:tc>
        <w:tc>
          <w:tcPr>
            <w:tcW w:type="dxa" w:w="5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 : requise seulement si vol &lt; 5 m]</w:t>
            </w:r>
          </w:p>
        </w:tc>
      </w:tr>
      <w:tr>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Configuration (hélices, batterie, accessoires)</w:t>
            </w:r>
          </w:p>
        </w:tc>
        <w:tc>
          <w:tcPr>
            <w:tcW w:type="dxa" w:w="5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 — configuration exacte au vol]</w:t>
            </w:r>
          </w:p>
        </w:tc>
      </w:tr>
      <w:tr>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Station de contrôle</w:t>
            </w:r>
          </w:p>
        </w:tc>
        <w:tc>
          <w:tcPr>
            <w:tcW w:type="dxa" w:w="5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Télécommande DJI + téléphone Android exécutant CineFlight (YOLO11/NCNN)</w:t>
            </w:r>
          </w:p>
        </w:tc>
      </w:tr>
      <w:tr>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Liaisons</w:t>
            </w:r>
          </w:p>
        </w:tc>
        <w:tc>
          <w:tcPr>
            <w:tcW w:type="dxa" w:w="5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 : radiocommande OcuSync/O4 ; liaison vidéo]</w:t>
            </w:r>
          </w:p>
        </w:tc>
      </w:tr>
    </w:tbl>
    <w:p>
      <w:pPr>
        <w:spacing w:after="100" w:line="276"/>
      </w:pPr>
      <w:r>
        <w:rPr>
          <w:rFonts w:ascii="Calibri" w:cs="Calibri" w:eastAsia="Calibri" w:hAnsi="Calibri"/>
          <w:b/>
          <w:bCs/>
          <w:sz w:val="21"/>
          <w:szCs w:val="21"/>
        </w:rPr>
        <w:t xml:space="preserve">Cas du prototype (DJI Mini 4 Pro) : </w:t>
      </w:r>
      <w:r>
        <w:rPr>
          <w:rFonts w:ascii="Calibri" w:cs="Calibri" w:eastAsia="Calibri" w:hAnsi="Calibri"/>
          <w:sz w:val="21"/>
          <w:szCs w:val="21"/>
        </w:rPr>
        <w:t xml:space="preserve">focale fixe équivalente 24 mm avec zoom numérique seulement (pas de zoom optique continu). Le logiciel détecte dynamiquement la capacité de zoom (composant CapaciteZoom) et désactive l'axe zoom lorsque la caméra n'a pas de zoom optique réel — évitant toute dégradation d'image par zoom numérique. Ce comportement est vérifié par test.</w:t>
      </w:r>
    </w:p>
    <w:p>
      <w:pPr>
        <w:spacing w:after="100" w:line="276"/>
      </w:pPr>
      <w:r>
        <w:rPr>
          <w:rFonts w:ascii="Calibri" w:cs="Calibri" w:eastAsia="Calibri" w:hAnsi="Calibri"/>
          <w:b/>
          <w:bCs/>
          <w:sz w:val="21"/>
          <w:szCs w:val="21"/>
        </w:rPr>
        <w:t xml:space="preserve">Effet du logiciel sur le RPAS déclaré : </w:t>
      </w:r>
      <w:r>
        <w:rPr>
          <w:rFonts w:ascii="Calibri" w:cs="Calibri" w:eastAsia="Calibri" w:hAnsi="Calibri"/>
          <w:sz w:val="21"/>
          <w:szCs w:val="21"/>
        </w:rPr>
        <w:t xml:space="preserve">CineFlight n'ajoute ni ne modifie de composant matériel de vol ; il agit comme une source de commande de haut niveau via l'interface Virtual Stick du SDK mobile DJI, subordonnée au contrôleur de vol de l'aéronef et à l'arbitre logiciel décrit au §4. Le pilote conserve la priorité de reprise manuelle par la télécommande à tout moment.</w:t>
      </w:r>
    </w:p>
    <w:p>
      <w:r>
        <w:br w:type="page"/>
      </w:r>
    </w:p>
    <w:p>
      <w:pPr>
        <w:pStyle w:val="Heading1"/>
        <w:spacing w:after="140" w:before="280"/>
      </w:pPr>
      <w:r>
        <w:rPr>
          <w:rFonts w:ascii="Calibri" w:cs="Calibri" w:eastAsia="Calibri" w:hAnsi="Calibri"/>
          <w:b/>
          <w:bCs/>
          <w:color w:val="1F3864"/>
        </w:rPr>
        <w:t xml:space="preserve">4. Description de la modification CineFlight et de l'autorité de commande</w:t>
      </w:r>
    </w:p>
    <w:p>
      <w:pPr>
        <w:pStyle w:val="Heading2"/>
        <w:spacing w:after="100" w:before="200"/>
      </w:pPr>
      <w:r>
        <w:rPr>
          <w:rFonts w:ascii="Calibri" w:cs="Calibri" w:eastAsia="Calibri" w:hAnsi="Calibri"/>
          <w:b/>
          <w:bCs/>
          <w:color w:val="1F3864"/>
        </w:rPr>
        <w:t xml:space="preserve">4.1 Chaîne de commande</w:t>
      </w:r>
    </w:p>
    <w:p>
      <w:pPr>
        <w:spacing w:after="100" w:line="276"/>
      </w:pPr>
      <w:r>
        <w:rPr>
          <w:rFonts w:ascii="Calibri" w:cs="Calibri" w:eastAsia="Calibri" w:hAnsi="Calibri"/>
          <w:sz w:val="21"/>
          <w:szCs w:val="21"/>
        </w:rPr>
        <w:t xml:space="preserve">La chaîne, du capteur à l'aéronef, est la suivante :</w:t>
      </w:r>
    </w:p>
    <w:p>
      <w:pPr>
        <w:pStyle w:val="ListParagraph"/>
        <w:numPr>
          <w:ilvl w:val="0"/>
          <w:numId w:val="2"/>
        </w:numPr>
        <w:spacing w:after="60" w:line="270"/>
      </w:pPr>
      <w:r>
        <w:rPr>
          <w:rFonts w:ascii="Calibri" w:cs="Calibri" w:eastAsia="Calibri" w:hAnsi="Calibri"/>
          <w:sz w:val="21"/>
          <w:szCs w:val="21"/>
        </w:rPr>
        <w:t xml:space="preserve">Caméra du drone → flux vidéo vers la station de contrôle (téléphone)</w:t>
      </w:r>
    </w:p>
    <w:p>
      <w:pPr>
        <w:pStyle w:val="ListParagraph"/>
        <w:numPr>
          <w:ilvl w:val="0"/>
          <w:numId w:val="2"/>
        </w:numPr>
        <w:spacing w:after="60" w:line="270"/>
      </w:pPr>
      <w:r>
        <w:rPr>
          <w:rFonts w:ascii="Calibri" w:cs="Calibri" w:eastAsia="Calibri" w:hAnsi="Calibri"/>
          <w:sz w:val="21"/>
          <w:szCs w:val="21"/>
        </w:rPr>
        <w:t xml:space="preserve">YOLO11 (NCNN, CPU ARM) → liste des détections (boîtes joueurs)</w:t>
      </w:r>
    </w:p>
    <w:p>
      <w:pPr>
        <w:pStyle w:val="ListParagraph"/>
        <w:numPr>
          <w:ilvl w:val="0"/>
          <w:numId w:val="2"/>
        </w:numPr>
        <w:spacing w:after="60" w:line="270"/>
      </w:pPr>
      <w:r>
        <w:rPr>
          <w:rFonts w:ascii="Calibri" w:cs="Calibri" w:eastAsia="Calibri" w:hAnsi="Calibri"/>
          <w:sz w:val="21"/>
          <w:szCs w:val="21"/>
        </w:rPr>
        <w:t xml:space="preserve">Suivi multi-joueurs (PlayerTracker) → centre du groupe principal (ActionCenter)</w:t>
      </w:r>
    </w:p>
    <w:p>
      <w:pPr>
        <w:pStyle w:val="ListParagraph"/>
        <w:numPr>
          <w:ilvl w:val="0"/>
          <w:numId w:val="2"/>
        </w:numPr>
        <w:spacing w:after="60" w:line="270"/>
      </w:pPr>
      <w:r>
        <w:rPr>
          <w:rFonts w:ascii="Calibri" w:cs="Calibri" w:eastAsia="Calibri" w:hAnsi="Calibri"/>
          <w:sz w:val="21"/>
          <w:szCs w:val="21"/>
        </w:rPr>
        <w:t xml:space="preserve">Réalisateur (SoccerDirector) → proposition de cadrage (altitude, latéral, zoom)</w:t>
      </w:r>
    </w:p>
    <w:p>
      <w:pPr>
        <w:pStyle w:val="ListParagraph"/>
        <w:numPr>
          <w:ilvl w:val="0"/>
          <w:numId w:val="2"/>
        </w:numPr>
        <w:spacing w:after="60" w:line="270"/>
      </w:pPr>
      <w:r>
        <w:rPr>
          <w:rFonts w:ascii="Calibri" w:cs="Calibri" w:eastAsia="Calibri" w:hAnsi="Calibri"/>
          <w:sz w:val="21"/>
          <w:szCs w:val="21"/>
        </w:rPr>
        <w:t xml:space="preserve">Contrôleur d'altitude (SoccerAltitudeThrottle) → vitesse verticale proposée</w:t>
      </w:r>
    </w:p>
    <w:p>
      <w:pPr>
        <w:pStyle w:val="ListParagraph"/>
        <w:numPr>
          <w:ilvl w:val="0"/>
          <w:numId w:val="2"/>
        </w:numPr>
        <w:spacing w:after="60" w:line="270"/>
      </w:pPr>
      <w:r>
        <w:rPr>
          <w:rFonts w:ascii="Calibri" w:cs="Calibri" w:eastAsia="Calibri" w:hAnsi="Calibri"/>
          <w:sz w:val="21"/>
          <w:szCs w:val="21"/>
        </w:rPr>
        <w:t xml:space="preserve">Double verrou 2D (Emission2DGuard) → coupe si un verrou manque</w:t>
      </w:r>
    </w:p>
    <w:p>
      <w:pPr>
        <w:pStyle w:val="ListParagraph"/>
        <w:numPr>
          <w:ilvl w:val="0"/>
          <w:numId w:val="2"/>
        </w:numPr>
        <w:spacing w:after="60" w:line="270"/>
      </w:pPr>
      <w:r>
        <w:rPr>
          <w:rFonts w:ascii="Calibri" w:cs="Calibri" w:eastAsia="Calibri" w:hAnsi="Calibri"/>
          <w:sz w:val="21"/>
          <w:szCs w:val="21"/>
        </w:rPr>
        <w:t xml:space="preserve">Arbitre de sécurité (FlightCommandArbiter) → décision finale unique</w:t>
      </w:r>
    </w:p>
    <w:p>
      <w:pPr>
        <w:pStyle w:val="ListParagraph"/>
        <w:numPr>
          <w:ilvl w:val="0"/>
          <w:numId w:val="2"/>
        </w:numPr>
        <w:spacing w:after="60" w:line="270"/>
      </w:pPr>
      <w:r>
        <w:rPr>
          <w:rFonts w:ascii="Calibri" w:cs="Calibri" w:eastAsia="Calibri" w:hAnsi="Calibri"/>
          <w:sz w:val="21"/>
          <w:szCs w:val="21"/>
        </w:rPr>
        <w:t xml:space="preserve">Interface Virtual Stick (SDK DJI) → contrôleur de vol → aéronef</w:t>
      </w:r>
    </w:p>
    <w:p>
      <w:pPr>
        <w:pStyle w:val="Heading2"/>
        <w:spacing w:after="100" w:before="200"/>
      </w:pPr>
      <w:r>
        <w:rPr>
          <w:rFonts w:ascii="Calibri" w:cs="Calibri" w:eastAsia="Calibri" w:hAnsi="Calibri"/>
          <w:b/>
          <w:bCs/>
          <w:color w:val="1F3864"/>
        </w:rPr>
        <w:t xml:space="preserve">4.2 Autorité finale et reprise manuelle</w:t>
      </w:r>
    </w:p>
    <w:p>
      <w:pPr>
        <w:pStyle w:val="ListParagraph"/>
        <w:numPr>
          <w:ilvl w:val="0"/>
          <w:numId w:val="1"/>
        </w:numPr>
        <w:spacing w:after="60" w:line="270"/>
      </w:pPr>
      <w:r>
        <w:rPr>
          <w:rFonts w:ascii="Calibri" w:cs="Calibri" w:eastAsia="Calibri" w:hAnsi="Calibri"/>
          <w:b/>
          <w:bCs/>
          <w:sz w:val="21"/>
          <w:szCs w:val="21"/>
        </w:rPr>
        <w:t xml:space="preserve">Priorité absolue du pilote : </w:t>
      </w:r>
      <w:r>
        <w:rPr>
          <w:rFonts w:ascii="Calibri" w:cs="Calibri" w:eastAsia="Calibri" w:hAnsi="Calibri"/>
          <w:sz w:val="21"/>
          <w:szCs w:val="21"/>
        </w:rPr>
        <w:t xml:space="preserve">l'arbitre teste la reprise manuelle AVANT toute autre condition. Dès que le pilote agit sur les manches / reprend la main, la commande logicielle est écartée et la commande pilote s'applique. Prouvé par test sur les 512 combinaisons.</w:t>
      </w:r>
    </w:p>
    <w:p>
      <w:pPr>
        <w:pStyle w:val="ListParagraph"/>
        <w:numPr>
          <w:ilvl w:val="0"/>
          <w:numId w:val="1"/>
        </w:numPr>
        <w:spacing w:after="60" w:line="270"/>
      </w:pPr>
      <w:r>
        <w:rPr>
          <w:rFonts w:ascii="Calibri" w:cs="Calibri" w:eastAsia="Calibri" w:hAnsi="Calibri"/>
          <w:b/>
          <w:bCs/>
          <w:sz w:val="21"/>
          <w:szCs w:val="21"/>
        </w:rPr>
        <w:t xml:space="preserve">Arrêt d'urgence : </w:t>
      </w:r>
      <w:r>
        <w:rPr>
          <w:rFonts w:ascii="Calibri" w:cs="Calibri" w:eastAsia="Calibri" w:hAnsi="Calibri"/>
          <w:sz w:val="21"/>
          <w:szCs w:val="21"/>
        </w:rPr>
        <w:t xml:space="preserve">un arrêt d'urgence produit une commande neutre (zéro) immédiate.</w:t>
      </w:r>
    </w:p>
    <w:p>
      <w:pPr>
        <w:pStyle w:val="ListParagraph"/>
        <w:numPr>
          <w:ilvl w:val="0"/>
          <w:numId w:val="1"/>
        </w:numPr>
        <w:spacing w:after="60" w:line="270"/>
      </w:pPr>
      <w:r>
        <w:rPr>
          <w:rFonts w:ascii="Calibri" w:cs="Calibri" w:eastAsia="Calibri" w:hAnsi="Calibri"/>
          <w:b/>
          <w:bCs/>
          <w:sz w:val="21"/>
          <w:szCs w:val="21"/>
        </w:rPr>
        <w:t xml:space="preserve">Défaut inerte : </w:t>
      </w:r>
      <w:r>
        <w:rPr>
          <w:rFonts w:ascii="Calibri" w:cs="Calibri" w:eastAsia="Calibri" w:hAnsi="Calibri"/>
          <w:sz w:val="21"/>
          <w:szCs w:val="21"/>
        </w:rPr>
        <w:t xml:space="preserve">par défaut, l'émission réelle est désactivée (double verrou fermé). Aucune commande n'atteint le drone tant que l'exploitant n'a pas volontairement ouvert les deux verrous ET armé le mode.</w:t>
      </w:r>
    </w:p>
    <w:p>
      <w:pPr>
        <w:pStyle w:val="Heading2"/>
        <w:spacing w:after="100" w:before="200"/>
      </w:pPr>
      <w:r>
        <w:rPr>
          <w:rFonts w:ascii="Calibri" w:cs="Calibri" w:eastAsia="Calibri" w:hAnsi="Calibri"/>
          <w:b/>
          <w:bCs/>
          <w:color w:val="1F3864"/>
        </w:rPr>
        <w:t xml:space="preserve">4.3 Comportement en cas de défaillance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600"/>
        <w:gridCol w:w="5760"/>
      </w:tblGrid>
      <w:tr>
        <w:trPr>
          <w:tblHeader/>
        </w:trPr>
        <w:tc>
          <w:tcPr>
            <w:tcW w:type="dxa" w:w="360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Défaillance</w:t>
            </w:r>
          </w:p>
        </w:tc>
        <w:tc>
          <w:tcPr>
            <w:tcW w:type="dxa" w:w="576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Comportement conçu</w:t>
            </w:r>
          </w:p>
        </w:tc>
      </w:tr>
      <w:tr>
        <w:tc>
          <w:tcPr>
            <w:tcW w:type="dxa" w:w="36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Plantage de l'application Android</w:t>
            </w:r>
          </w:p>
        </w:tc>
        <w:tc>
          <w:tcPr>
            <w:tcW w:type="dxa" w:w="57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Fin du flux de commandes ; le contrôleur DJI maintient le vol ; le pilote reprend en manuel. Perte de la source de commande = pas de commande (fail-closed).</w:t>
            </w:r>
          </w:p>
        </w:tc>
      </w:tr>
      <w:tr>
        <w:tc>
          <w:tcPr>
            <w:tcW w:type="dxa" w:w="36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Fausse détection YOLO</w:t>
            </w:r>
          </w:p>
        </w:tc>
        <w:tc>
          <w:tcPr>
            <w:tcW w:type="dxa" w:w="57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Le suivi multi-joueurs et le seuil de confiance filtrent ; l'arbitre bloque si l'action n'est pas fraîche et fiable. La confiance module aussi le score de cadrage.</w:t>
            </w:r>
          </w:p>
        </w:tc>
      </w:tr>
      <w:tr>
        <w:tc>
          <w:tcPr>
            <w:tcW w:type="dxa" w:w="36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Surchauffe / ralentissement du téléphone</w:t>
            </w:r>
          </w:p>
        </w:tc>
        <w:tc>
          <w:tcPr>
            <w:tcW w:type="dxa" w:w="57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Baisse de fréquence des commandes ; les commandes périmées sont neutralisées (âge maximal).</w:t>
            </w:r>
          </w:p>
        </w:tc>
      </w:tr>
      <w:tr>
        <w:tc>
          <w:tcPr>
            <w:tcW w:type="dxa" w:w="36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Perte du flux vidéo</w:t>
            </w:r>
          </w:p>
        </w:tc>
        <w:tc>
          <w:tcPr>
            <w:tcW w:type="dxa" w:w="57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Absence de détection fraîche → arbitre bloque → commande neutre (zéro).</w:t>
            </w:r>
          </w:p>
        </w:tc>
      </w:tr>
      <w:tr>
        <w:tc>
          <w:tcPr>
            <w:tcW w:type="dxa" w:w="36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Latence excessive</w:t>
            </w:r>
          </w:p>
        </w:tc>
        <w:tc>
          <w:tcPr>
            <w:tcW w:type="dxa" w:w="57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Commande périmée détectée (horodatage/âge) → neutralisée.</w:t>
            </w:r>
          </w:p>
        </w:tc>
      </w:tr>
      <w:tr>
        <w:tc>
          <w:tcPr>
            <w:tcW w:type="dxa" w:w="36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Position drone non fiable (GNSS/RTK dégradé)</w:t>
            </w:r>
          </w:p>
        </w:tc>
        <w:tc>
          <w:tcPr>
            <w:tcW w:type="dxa" w:w="57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L'arbitre exige une position fraîche (RTK FIX/FLOAT) ; sinon bloqué.</w:t>
            </w:r>
          </w:p>
        </w:tc>
      </w:tr>
      <w:tr>
        <w:tc>
          <w:tcPr>
            <w:tcW w:type="dxa" w:w="36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Batterie sous le seuil</w:t>
            </w:r>
          </w:p>
        </w:tc>
        <w:tc>
          <w:tcPr>
            <w:tcW w:type="dxa" w:w="57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L'arbitre bloque l'émission soccer sous le seuil opérationnel.</w:t>
            </w:r>
          </w:p>
        </w:tc>
      </w:tr>
      <w:tr>
        <w:tc>
          <w:tcPr>
            <w:tcW w:type="dxa" w:w="36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Entrée numérique invalide (NaN/∞)</w:t>
            </w:r>
          </w:p>
        </w:tc>
        <w:tc>
          <w:tcPr>
            <w:tcW w:type="dxa" w:w="57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Chaque composant nettoie explicitement ; sortie forcée à zéro (fail-safe).</w:t>
            </w:r>
          </w:p>
        </w:tc>
      </w:tr>
    </w:tbl>
    <w:p>
      <w:pPr>
        <w:pStyle w:val="Heading2"/>
        <w:spacing w:after="100" w:before="200"/>
      </w:pPr>
      <w:r>
        <w:rPr>
          <w:rFonts w:ascii="Calibri" w:cs="Calibri" w:eastAsia="Calibri" w:hAnsi="Calibri"/>
          <w:b/>
          <w:bCs/>
          <w:color w:val="1F3864"/>
        </w:rPr>
        <w:t xml:space="preserve">4.4 Limites imposées indépendamment de l'IA</w:t>
      </w:r>
    </w:p>
    <w:p>
      <w:pPr>
        <w:pStyle w:val="ListParagraph"/>
        <w:numPr>
          <w:ilvl w:val="0"/>
          <w:numId w:val="1"/>
        </w:numPr>
        <w:spacing w:after="60" w:line="270"/>
      </w:pPr>
      <w:r>
        <w:rPr>
          <w:rFonts w:ascii="Calibri" w:cs="Calibri" w:eastAsia="Calibri" w:hAnsi="Calibri"/>
          <w:sz w:val="21"/>
          <w:szCs w:val="21"/>
        </w:rPr>
        <w:t xml:space="preserve">Plafond d'altitude absolu appliqué par le réalisateur : 35 m (au-delà de la plage de jeu).</w:t>
      </w:r>
    </w:p>
    <w:p>
      <w:pPr>
        <w:pStyle w:val="ListParagraph"/>
        <w:numPr>
          <w:ilvl w:val="0"/>
          <w:numId w:val="1"/>
        </w:numPr>
        <w:spacing w:after="60" w:line="270"/>
      </w:pPr>
      <w:r>
        <w:rPr>
          <w:rFonts w:ascii="Calibri" w:cs="Calibri" w:eastAsia="Calibri" w:hAnsi="Calibri"/>
          <w:sz w:val="21"/>
          <w:szCs w:val="21"/>
        </w:rPr>
        <w:t xml:space="preserve">Limiteur de vitesse verticale : la vitesse verticale proposée est bornée ; Essai 1 = 0 (aucun mouvement) par défaut.</w:t>
      </w:r>
    </w:p>
    <w:p>
      <w:pPr>
        <w:pStyle w:val="ListParagraph"/>
        <w:numPr>
          <w:ilvl w:val="0"/>
          <w:numId w:val="1"/>
        </w:numPr>
        <w:spacing w:after="60" w:line="270"/>
      </w:pPr>
      <w:r>
        <w:rPr>
          <w:rFonts w:ascii="Calibri" w:cs="Calibri" w:eastAsia="Calibri" w:hAnsi="Calibri"/>
          <w:sz w:val="21"/>
          <w:szCs w:val="21"/>
        </w:rPr>
        <w:t xml:space="preserve">Limiteur de vitesse latérale et amplitude latérale de sécurité bornée.</w:t>
      </w:r>
    </w:p>
    <w:p>
      <w:pPr>
        <w:pStyle w:val="ListParagraph"/>
        <w:numPr>
          <w:ilvl w:val="0"/>
          <w:numId w:val="1"/>
        </w:numPr>
        <w:spacing w:after="60" w:line="270"/>
      </w:pPr>
      <w:r>
        <w:rPr>
          <w:rFonts w:ascii="Calibri" w:cs="Calibri" w:eastAsia="Calibri" w:hAnsi="Calibri"/>
          <w:sz w:val="21"/>
          <w:szCs w:val="21"/>
        </w:rPr>
        <w:t xml:space="preserve">Zone morte sur l'altitude (±0,30 m) pour éviter les micro-corrections.</w:t>
      </w:r>
    </w:p>
    <w:p>
      <w:pPr>
        <w:pStyle w:val="ListParagraph"/>
        <w:numPr>
          <w:ilvl w:val="0"/>
          <w:numId w:val="1"/>
        </w:numPr>
        <w:spacing w:after="60" w:line="270"/>
      </w:pPr>
      <w:r>
        <w:rPr>
          <w:rFonts w:ascii="Calibri" w:cs="Calibri" w:eastAsia="Calibri" w:hAnsi="Calibri"/>
          <w:sz w:val="21"/>
          <w:szCs w:val="21"/>
        </w:rPr>
        <w:t xml:space="preserve">Neutralisation des commandes périmées (âge maximal) ; fréquence de commande bornée.</w:t>
      </w:r>
    </w:p>
    <w:p>
      <w:pPr>
        <w:pStyle w:val="ListParagraph"/>
        <w:numPr>
          <w:ilvl w:val="0"/>
          <w:numId w:val="1"/>
        </w:numPr>
        <w:spacing w:after="60" w:line="270"/>
      </w:pPr>
      <w:r>
        <w:rPr>
          <w:rFonts w:ascii="Calibri" w:cs="Calibri" w:eastAsia="Calibri" w:hAnsi="Calibri"/>
          <w:sz w:val="21"/>
          <w:szCs w:val="21"/>
        </w:rPr>
        <w:t xml:space="preserve">Géorepérage au polygone du terrain ; garde de proximité opérateur (200 m).</w:t>
      </w:r>
    </w:p>
    <w:p>
      <w:pPr>
        <w:spacing w:after="100" w:line="276"/>
      </w:pPr>
      <w:r>
        <w:rPr>
          <w:rFonts w:ascii="Calibri" w:cs="Calibri" w:eastAsia="Calibri" w:hAnsi="Calibri"/>
          <w:b/>
          <w:bCs/>
          <w:sz w:val="21"/>
          <w:szCs w:val="21"/>
        </w:rPr>
        <w:t xml:space="preserve">Vérification obligatoire du signe des commandes : </w:t>
      </w:r>
      <w:r>
        <w:rPr>
          <w:rFonts w:ascii="Calibri" w:cs="Calibri" w:eastAsia="Calibri" w:hAnsi="Calibri"/>
          <w:sz w:val="21"/>
          <w:szCs w:val="21"/>
        </w:rPr>
        <w:t xml:space="preserve">le sens du throttle (montée/descente) est isolé dans une constante unique et doit être validé par un essai statique au sol (drone posé, hélices retirées) avant tout vol. Voir §6 et la procédure d'essai jointe.</w:t>
      </w:r>
    </w:p>
    <w:p>
      <w:r>
        <w:br w:type="page"/>
      </w:r>
    </w:p>
    <w:p>
      <w:pPr>
        <w:pStyle w:val="Heading1"/>
        <w:spacing w:after="140" w:before="280"/>
      </w:pPr>
      <w:r>
        <w:rPr>
          <w:rFonts w:ascii="Calibri" w:cs="Calibri" w:eastAsia="Calibri" w:hAnsi="Calibri"/>
          <w:b/>
          <w:bCs/>
          <w:color w:val="1F3864"/>
        </w:rPr>
        <w:t xml:space="preserve">5. Registre des risques</w:t>
      </w:r>
    </w:p>
    <w:p>
      <w:pPr>
        <w:spacing w:after="100" w:line="276"/>
      </w:pPr>
      <w:r>
        <w:rPr>
          <w:rFonts w:ascii="Calibri" w:cs="Calibri" w:eastAsia="Calibri" w:hAnsi="Calibri"/>
          <w:sz w:val="21"/>
          <w:szCs w:val="21"/>
        </w:rPr>
        <w:t xml:space="preserve">Registre structuré (danger → cause → conséquence → probabilité initiale → gravité → mesures d'atténuation → risque résiduel → preuve). Les cotations initiales sont proposées ; l'exploitant doit les valider et justifier l'acceptabilité du risque résiduel. Échelle suggérée : probabilité 1 (rare) à 5 (fréquent) ; gravité 1 (négligeable) à 5 (catastrophique).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250"/>
        <w:gridCol w:w="1500"/>
        <w:gridCol w:w="700"/>
        <w:gridCol w:w="700"/>
        <w:gridCol w:w="1900"/>
        <w:gridCol w:w="700"/>
        <w:gridCol w:w="1110"/>
      </w:tblGrid>
      <w:tr>
        <w:trPr>
          <w:tblHeader/>
        </w:trPr>
        <w:tc>
          <w:tcPr>
            <w:tcW w:type="dxa" w:w="150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Danger</w:t>
            </w:r>
          </w:p>
        </w:tc>
        <w:tc>
          <w:tcPr>
            <w:tcW w:type="dxa" w:w="125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Cause</w:t>
            </w:r>
          </w:p>
        </w:tc>
        <w:tc>
          <w:tcPr>
            <w:tcW w:type="dxa" w:w="150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Conséquence</w:t>
            </w:r>
          </w:p>
        </w:tc>
        <w:tc>
          <w:tcPr>
            <w:tcW w:type="dxa" w:w="70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Prob.</w:t>
            </w:r>
          </w:p>
        </w:tc>
        <w:tc>
          <w:tcPr>
            <w:tcW w:type="dxa" w:w="70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Grav.</w:t>
            </w:r>
          </w:p>
        </w:tc>
        <w:tc>
          <w:tcPr>
            <w:tcW w:type="dxa" w:w="190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Atténuation</w:t>
            </w:r>
          </w:p>
        </w:tc>
        <w:tc>
          <w:tcPr>
            <w:tcW w:type="dxa" w:w="70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Rés.</w:t>
            </w:r>
          </w:p>
        </w:tc>
        <w:tc>
          <w:tcPr>
            <w:tcW w:type="dxa" w:w="111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Preuve</w:t>
            </w:r>
          </w:p>
        </w:tc>
      </w:tr>
      <w:tr>
        <w:tc>
          <w:tcPr>
            <w:tcW w:type="dxa" w:w="15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Mauvais joueur suivi</w:t>
            </w:r>
          </w:p>
        </w:tc>
        <w:tc>
          <w:tcPr>
            <w:tcW w:type="dxa" w:w="125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Confusion YOLO</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Déplacement imprévu du cadrage</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3</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2</w:t>
            </w:r>
          </w:p>
        </w:tc>
        <w:tc>
          <w:tcPr>
            <w:tcW w:type="dxa" w:w="19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Suivi multi-joueurs + centre de groupe ; arbitre ; limites vitesse</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Faible</w:t>
            </w:r>
          </w:p>
        </w:tc>
        <w:tc>
          <w:tcPr>
            <w:tcW w:type="dxa" w:w="111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Tests + logs</w:t>
            </w:r>
          </w:p>
        </w:tc>
      </w:tr>
      <w:tr>
        <w:tc>
          <w:tcPr>
            <w:tcW w:type="dxa" w:w="15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Perte du flux vidéo</w:t>
            </w:r>
          </w:p>
        </w:tc>
        <w:tc>
          <w:tcPr>
            <w:tcW w:type="dxa" w:w="125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Liaison dégradée</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Perte de cadrage</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3</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3</w:t>
            </w:r>
          </w:p>
        </w:tc>
        <w:tc>
          <w:tcPr>
            <w:tcW w:type="dxa" w:w="19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Détection non fraîche → commande zéro ; VLOS pilote</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Faible</w:t>
            </w:r>
          </w:p>
        </w:tc>
        <w:tc>
          <w:tcPr>
            <w:tcW w:type="dxa" w:w="111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Tests + essai</w:t>
            </w:r>
          </w:p>
        </w:tc>
      </w:tr>
      <w:tr>
        <w:tc>
          <w:tcPr>
            <w:tcW w:type="dxa" w:w="15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Intrusion spectateur</w:t>
            </w:r>
          </w:p>
        </w:tc>
        <w:tc>
          <w:tcPr>
            <w:tcW w:type="dxa" w:w="125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Périmètre franchi</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Proximité imprévue</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2</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4</w:t>
            </w:r>
          </w:p>
        </w:tc>
        <w:tc>
          <w:tcPr>
            <w:tcW w:type="dxa" w:w="19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Observateur ; périmètre ; arrêt ; distances 922</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Moyen</w:t>
            </w:r>
          </w:p>
        </w:tc>
        <w:tc>
          <w:tcPr>
            <w:tcW w:type="dxa" w:w="111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Exercice</w:t>
            </w:r>
          </w:p>
        </w:tc>
      </w:tr>
      <w:tr>
        <w:tc>
          <w:tcPr>
            <w:tcW w:type="dxa" w:w="15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Rafale de vent</w:t>
            </w:r>
          </w:p>
        </w:tc>
        <w:tc>
          <w:tcPr>
            <w:tcW w:type="dxa" w:w="125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Météo</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Dérive de l'aéronef</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3</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3</w:t>
            </w:r>
          </w:p>
        </w:tc>
        <w:tc>
          <w:tcPr>
            <w:tcW w:type="dxa" w:w="19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Limites météo ; marges ; reprise pilote</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Faible</w:t>
            </w:r>
          </w:p>
        </w:tc>
        <w:tc>
          <w:tcPr>
            <w:tcW w:type="dxa" w:w="111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Essais</w:t>
            </w:r>
          </w:p>
        </w:tc>
      </w:tr>
      <w:tr>
        <w:tc>
          <w:tcPr>
            <w:tcW w:type="dxa" w:w="15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Fausse détection (contre-jour, pluie)</w:t>
            </w:r>
          </w:p>
        </w:tc>
        <w:tc>
          <w:tcPr>
            <w:tcW w:type="dxa" w:w="125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Baisse confiance YOLO</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Cadrage erroné</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3</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2</w:t>
            </w:r>
          </w:p>
        </w:tc>
        <w:tc>
          <w:tcPr>
            <w:tcW w:type="dxa" w:w="19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Facteur de confiance ; seuil ; arbitre bloque</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Faible</w:t>
            </w:r>
          </w:p>
        </w:tc>
        <w:tc>
          <w:tcPr>
            <w:tcW w:type="dxa" w:w="111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Tests</w:t>
            </w:r>
          </w:p>
        </w:tc>
      </w:tr>
      <w:tr>
        <w:tc>
          <w:tcPr>
            <w:tcW w:type="dxa" w:w="15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Commande périmée (latence)</w:t>
            </w:r>
          </w:p>
        </w:tc>
        <w:tc>
          <w:tcPr>
            <w:tcW w:type="dxa" w:w="125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Surcharge téléphone</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Réaction retardée</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2</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3</w:t>
            </w:r>
          </w:p>
        </w:tc>
        <w:tc>
          <w:tcPr>
            <w:tcW w:type="dxa" w:w="19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Neutralisation par âge ; fréquence bornée</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Faible</w:t>
            </w:r>
          </w:p>
        </w:tc>
        <w:tc>
          <w:tcPr>
            <w:tcW w:type="dxa" w:w="111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Tests</w:t>
            </w:r>
          </w:p>
        </w:tc>
      </w:tr>
      <w:tr>
        <w:tc>
          <w:tcPr>
            <w:tcW w:type="dxa" w:w="15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Signe throttle inversé</w:t>
            </w:r>
          </w:p>
        </w:tc>
        <w:tc>
          <w:tcPr>
            <w:tcW w:type="dxa" w:w="125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Convention SDK</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Montée/descente inversée</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2</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5</w:t>
            </w:r>
          </w:p>
        </w:tc>
        <w:tc>
          <w:tcPr>
            <w:tcW w:type="dxa" w:w="19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Signe isolé + essai statique au sol obligatoire</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Faible</w:t>
            </w:r>
          </w:p>
        </w:tc>
        <w:tc>
          <w:tcPr>
            <w:tcW w:type="dxa" w:w="111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Essai sol</w:t>
            </w:r>
          </w:p>
        </w:tc>
      </w:tr>
      <w:tr>
        <w:tc>
          <w:tcPr>
            <w:tcW w:type="dxa" w:w="15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Plantage application</w:t>
            </w:r>
          </w:p>
        </w:tc>
        <w:tc>
          <w:tcPr>
            <w:tcW w:type="dxa" w:w="125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Bug/OS</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Perte source de commande</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2</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3</w:t>
            </w:r>
          </w:p>
        </w:tc>
        <w:tc>
          <w:tcPr>
            <w:tcW w:type="dxa" w:w="19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Fail-closed ; reprise manuelle ; contrôleur DJI</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Faible</w:t>
            </w:r>
          </w:p>
        </w:tc>
        <w:tc>
          <w:tcPr>
            <w:tcW w:type="dxa" w:w="111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Essai</w:t>
            </w:r>
          </w:p>
        </w:tc>
      </w:tr>
      <w:tr>
        <w:tc>
          <w:tcPr>
            <w:tcW w:type="dxa" w:w="15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Perte liaison radiocommande</w:t>
            </w:r>
          </w:p>
        </w:tc>
        <w:tc>
          <w:tcPr>
            <w:tcW w:type="dxa" w:w="125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Interférence</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Perte de contrôle</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2</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5</w:t>
            </w:r>
          </w:p>
        </w:tc>
        <w:tc>
          <w:tcPr>
            <w:tcW w:type="dxa" w:w="19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Failsafe DJI (RTH/hover) ; VLOS ; procédure</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Moyen</w:t>
            </w:r>
          </w:p>
        </w:tc>
        <w:tc>
          <w:tcPr>
            <w:tcW w:type="dxa" w:w="111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Essai</w:t>
            </w:r>
          </w:p>
        </w:tc>
      </w:tr>
      <w:tr>
        <w:tc>
          <w:tcPr>
            <w:tcW w:type="dxa" w:w="15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Survol involontaire de personnes</w:t>
            </w:r>
          </w:p>
        </w:tc>
        <w:tc>
          <w:tcPr>
            <w:tcW w:type="dxa" w:w="125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Erreur trajectoire</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Risque au sol</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2</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5</w:t>
            </w:r>
          </w:p>
        </w:tc>
        <w:tc>
          <w:tcPr>
            <w:tcW w:type="dxa" w:w="19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Géorepérage ; plafond 35 m ; distances ; observateur</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Moyen</w:t>
            </w:r>
          </w:p>
        </w:tc>
        <w:tc>
          <w:tcPr>
            <w:tcW w:type="dxa" w:w="111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Essais</w:t>
            </w:r>
          </w:p>
        </w:tc>
      </w:tr>
      <w:tr>
        <w:tc>
          <w:tcPr>
            <w:tcW w:type="dxa" w:w="15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Batterie faible en vol</w:t>
            </w:r>
          </w:p>
        </w:tc>
        <w:tc>
          <w:tcPr>
            <w:tcW w:type="dxa" w:w="125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Autonomie</w:t>
            </w:r>
          </w:p>
        </w:tc>
        <w:tc>
          <w:tcPr>
            <w:tcW w:type="dxa" w:w="15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Atterrissage forcé</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2</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3</w:t>
            </w:r>
          </w:p>
        </w:tc>
        <w:tc>
          <w:tcPr>
            <w:tcW w:type="dxa" w:w="19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Seuil arbitre ; failsafe DJI ; zone atterr. urgence</w:t>
            </w:r>
          </w:p>
        </w:tc>
        <w:tc>
          <w:tcPr>
            <w:tcW w:type="dxa" w:w="7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Faible</w:t>
            </w:r>
          </w:p>
        </w:tc>
        <w:tc>
          <w:tcPr>
            <w:tcW w:type="dxa" w:w="111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Essai</w:t>
            </w:r>
          </w:p>
        </w:tc>
      </w:tr>
    </w:tbl>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Valider chaque cotation (probabilité/gravité) selon votre échelle, ajouter les dangers propres au site, et rédiger la justification d'acceptabilité du risque résiduel global (ALARP).</w:t>
      </w:r>
    </w:p>
    <w:p>
      <w:r>
        <w:br w:type="page"/>
      </w:r>
    </w:p>
    <w:p>
      <w:pPr>
        <w:pStyle w:val="Heading1"/>
        <w:spacing w:after="140" w:before="280"/>
      </w:pPr>
      <w:r>
        <w:rPr>
          <w:rFonts w:ascii="Calibri" w:cs="Calibri" w:eastAsia="Calibri" w:hAnsi="Calibri"/>
          <w:b/>
          <w:bCs/>
          <w:color w:val="1F3864"/>
        </w:rPr>
        <w:t xml:space="preserve">6. Plan d'essais et preuves</w:t>
      </w:r>
    </w:p>
    <w:p>
      <w:pPr>
        <w:pStyle w:val="Heading2"/>
        <w:spacing w:after="100" w:before="200"/>
      </w:pPr>
      <w:r>
        <w:rPr>
          <w:rFonts w:ascii="Calibri" w:cs="Calibri" w:eastAsia="Calibri" w:hAnsi="Calibri"/>
          <w:b/>
          <w:bCs/>
          <w:color w:val="1F3864"/>
        </w:rPr>
        <w:t xml:space="preserve">6.1 Preuves logicielles déjà obtenues</w:t>
      </w:r>
    </w:p>
    <w:p>
      <w:pPr>
        <w:spacing w:after="100" w:line="276"/>
      </w:pPr>
      <w:r>
        <w:rPr>
          <w:rFonts w:ascii="Calibri" w:cs="Calibri" w:eastAsia="Calibri" w:hAnsi="Calibri"/>
          <w:sz w:val="21"/>
          <w:szCs w:val="21"/>
        </w:rPr>
        <w:t xml:space="preserve">La logique de sécurité et de cadrage est couverte par 278 tests unitaires automatisés (composants purs, déterministes, sans dépendance au matériel). Points saillants :</w:t>
      </w:r>
    </w:p>
    <w:p>
      <w:pPr>
        <w:pStyle w:val="ListParagraph"/>
        <w:numPr>
          <w:ilvl w:val="0"/>
          <w:numId w:val="1"/>
        </w:numPr>
        <w:spacing w:after="60" w:line="270"/>
      </w:pPr>
      <w:r>
        <w:rPr>
          <w:rFonts w:ascii="Calibri" w:cs="Calibri" w:eastAsia="Calibri" w:hAnsi="Calibri"/>
          <w:b/>
          <w:bCs/>
          <w:sz w:val="21"/>
          <w:szCs w:val="21"/>
        </w:rPr>
        <w:t xml:space="preserve">Arbitre de sécurité : </w:t>
      </w:r>
      <w:r>
        <w:rPr>
          <w:rFonts w:ascii="Calibri" w:cs="Calibri" w:eastAsia="Calibri" w:hAnsi="Calibri"/>
          <w:sz w:val="21"/>
          <w:szCs w:val="21"/>
        </w:rPr>
        <w:t xml:space="preserve">preuve exhaustive sur les 512 combinaisons (2⁹) des conditions ; la commande soccer n'est retenue que si les 9 conditions sont vraies, le pilote gagne sur toutes les combinaisons,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2D (Emission2DGuard) : </w:t>
      </w:r>
      <w:r>
        <w:rPr>
          <w:rFonts w:ascii="Calibri" w:cs="Calibri" w:eastAsia="Calibri" w:hAnsi="Calibri"/>
          <w:sz w:val="21"/>
          <w:szCs w:val="21"/>
        </w:rPr>
        <w:t xml:space="preserve">émission uniquement si flag réel + armé + vMax&gt;0 + arbitre autorise ; un seul verrou manquant → commande neutre ; défaut inerte prouvé.</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spacing w:after="100" w:line="276"/>
      </w:pPr>
      <w:r>
        <w:rPr>
          <w:rFonts w:ascii="Calibri" w:cs="Calibri" w:eastAsia="Calibri" w:hAnsi="Calibri"/>
          <w:sz w:val="21"/>
          <w:szCs w:val="21"/>
        </w:rPr>
        <w:t xml:space="preserve">Répartition indicative des tests par domaine (extrait)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1600"/>
        <w:gridCol w:w="2160"/>
      </w:tblGrid>
      <w:tr>
        <w:trPr>
          <w:tblHeader/>
        </w:trPr>
        <w:tc>
          <w:tcPr>
            <w:tcW w:type="dxa" w:w="560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Domaine testé</w:t>
            </w:r>
          </w:p>
        </w:tc>
        <w:tc>
          <w:tcPr>
            <w:tcW w:type="dxa" w:w="160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Nb tests</w:t>
            </w:r>
          </w:p>
        </w:tc>
        <w:tc>
          <w:tcPr>
            <w:tcW w:type="dxa" w:w="216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Nature</w:t>
            </w:r>
          </w:p>
        </w:tc>
      </w:tr>
      <w:tr>
        <w:tc>
          <w:tcPr>
            <w:tcW w:type="dxa" w:w="56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Réalisateur (SoccerDirector)</w:t>
            </w:r>
          </w:p>
        </w:tc>
        <w:tc>
          <w:tcPr>
            <w:tcW w:type="dxa" w:w="16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34</w:t>
            </w:r>
          </w:p>
        </w:tc>
        <w:tc>
          <w:tcPr>
            <w:tcW w:type="dxa" w:w="2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Décision multiaxe, bornage</w:t>
            </w:r>
          </w:p>
        </w:tc>
      </w:tr>
      <w:tr>
        <w:tc>
          <w:tcPr>
            <w:tcW w:type="dxa" w:w="56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Score de cadrage (SoccerCadrageScore)</w:t>
            </w:r>
          </w:p>
        </w:tc>
        <w:tc>
          <w:tcPr>
            <w:tcW w:type="dxa" w:w="16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23</w:t>
            </w:r>
          </w:p>
        </w:tc>
        <w:tc>
          <w:tcPr>
            <w:tcW w:type="dxa" w:w="2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5 critères + confiance</w:t>
            </w:r>
          </w:p>
        </w:tc>
      </w:tr>
      <w:tr>
        <w:tc>
          <w:tcPr>
            <w:tcW w:type="dxa" w:w="56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Arbitre (FlightCommandArbiter)</w:t>
            </w:r>
          </w:p>
        </w:tc>
        <w:tc>
          <w:tcPr>
            <w:tcW w:type="dxa" w:w="16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23</w:t>
            </w:r>
          </w:p>
        </w:tc>
        <w:tc>
          <w:tcPr>
            <w:tcW w:type="dxa" w:w="2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512 combinaisons + priorités</w:t>
            </w:r>
          </w:p>
        </w:tc>
      </w:tr>
      <w:tr>
        <w:tc>
          <w:tcPr>
            <w:tcW w:type="dxa" w:w="56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Double verrou 2D (Emission2DGuard)</w:t>
            </w:r>
          </w:p>
        </w:tc>
        <w:tc>
          <w:tcPr>
            <w:tcW w:type="dxa" w:w="16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13</w:t>
            </w:r>
          </w:p>
        </w:tc>
        <w:tc>
          <w:tcPr>
            <w:tcW w:type="dxa" w:w="2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Verrous + arbitre</w:t>
            </w:r>
          </w:p>
        </w:tc>
      </w:tr>
      <w:tr>
        <w:tc>
          <w:tcPr>
            <w:tcW w:type="dxa" w:w="56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Contrôleur throttle (SoccerAltitudeThrottle)</w:t>
            </w:r>
          </w:p>
        </w:tc>
        <w:tc>
          <w:tcPr>
            <w:tcW w:type="dxa" w:w="16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10</w:t>
            </w:r>
          </w:p>
        </w:tc>
        <w:tc>
          <w:tcPr>
            <w:tcW w:type="dxa" w:w="2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Sens, zone morte, bornage, NaN</w:t>
            </w:r>
          </w:p>
        </w:tc>
      </w:tr>
      <w:tr>
        <w:tc>
          <w:tcPr>
            <w:tcW w:type="dxa" w:w="56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Torture / robustesse</w:t>
            </w:r>
          </w:p>
        </w:tc>
        <w:tc>
          <w:tcPr>
            <w:tcW w:type="dxa" w:w="16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12</w:t>
            </w:r>
          </w:p>
        </w:tc>
        <w:tc>
          <w:tcPr>
            <w:tcW w:type="dxa" w:w="2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NaN/∞/extrêmes</w:t>
            </w:r>
          </w:p>
        </w:tc>
      </w:tr>
      <w:tr>
        <w:tc>
          <w:tcPr>
            <w:tcW w:type="dxa" w:w="56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Autres (suivi, terrain, rail, cinéma…)</w:t>
            </w:r>
          </w:p>
        </w:tc>
        <w:tc>
          <w:tcPr>
            <w:tcW w:type="dxa" w:w="16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 163</w:t>
            </w:r>
          </w:p>
        </w:tc>
        <w:tc>
          <w:tcPr>
            <w:tcW w:type="dxa" w:w="2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Divers composants</w:t>
            </w:r>
          </w:p>
        </w:tc>
      </w:tr>
      <w:tr>
        <w:tc>
          <w:tcPr>
            <w:tcW w:type="dxa" w:w="5600"/>
            <w:shd w:fill="D9E2F3"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TOTAL</w:t>
            </w:r>
          </w:p>
        </w:tc>
        <w:tc>
          <w:tcPr>
            <w:tcW w:type="dxa" w:w="1600"/>
            <w:shd w:fill="D9E2F3"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278</w:t>
            </w:r>
          </w:p>
        </w:tc>
        <w:tc>
          <w:tcPr>
            <w:tcW w:type="dxa" w:w="2160"/>
            <w:shd w:fill="D9E2F3"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w:t>
            </w:r>
          </w:p>
        </w:tc>
      </w:tr>
    </w:tbl>
    <w:p>
      <w:pPr>
        <w:pStyle w:val="Heading2"/>
        <w:spacing w:after="100" w:before="200"/>
      </w:pPr>
      <w:r>
        <w:rPr>
          <w:rFonts w:ascii="Calibri" w:cs="Calibri" w:eastAsia="Calibri" w:hAnsi="Calibri"/>
          <w:b/>
          <w:bCs/>
          <w:color w:val="1F3864"/>
        </w:rPr>
        <w:t xml:space="preserve">6.2 Essais matériels et terrain à réaliser (avec critères)</w:t>
      </w:r>
    </w:p>
    <w:p>
      <w:pPr>
        <w:spacing w:after="100" w:line="276"/>
      </w:pPr>
      <w:r>
        <w:rPr>
          <w:rFonts w:ascii="Calibri" w:cs="Calibri" w:eastAsia="Calibri" w:hAnsi="Calibri"/>
          <w:sz w:val="21"/>
          <w:szCs w:val="21"/>
        </w:rPr>
        <w:t xml:space="preserve">Chaque essai doit consigner : conditions, résultat mesuré, critère réussite/échec, et preuve (log, vidéo, capture).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Essai</w:t>
            </w:r>
          </w:p>
        </w:tc>
        <w:tc>
          <w:tcPr>
            <w:tcW w:type="dxa" w:w="320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Critère de réussite</w:t>
            </w:r>
          </w:p>
        </w:tc>
        <w:tc>
          <w:tcPr>
            <w:tcW w:type="dxa" w:w="176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Preuve</w:t>
            </w:r>
          </w:p>
        </w:tc>
      </w:tr>
      <w:tr>
        <w:tc>
          <w:tcPr>
            <w:tcW w:type="dxa" w:w="44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Validation du signe des axes (throttle/roll/pitch/yaw) — drone posé, hélices retirées</w:t>
            </w:r>
          </w:p>
        </w:tc>
        <w:tc>
          <w:tcPr>
            <w:tcW w:type="dxa" w:w="3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Sens conforme à l'intention pour chaque axe</w:t>
            </w:r>
          </w:p>
        </w:tc>
        <w:tc>
          <w:tcPr>
            <w:tcW w:type="dxa" w:w="17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Log envoyerVitesses</w:t>
            </w:r>
          </w:p>
        </w:tc>
      </w:tr>
      <w:tr>
        <w:tc>
          <w:tcPr>
            <w:tcW w:type="dxa" w:w="44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Tests de commande au banc (sans hélices)</w:t>
            </w:r>
          </w:p>
        </w:tc>
        <w:tc>
          <w:tcPr>
            <w:tcW w:type="dxa" w:w="3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Commandes émises = commandes attendues</w:t>
            </w:r>
          </w:p>
        </w:tc>
        <w:tc>
          <w:tcPr>
            <w:tcW w:type="dxa" w:w="17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Logs</w:t>
            </w:r>
          </w:p>
        </w:tc>
      </w:tr>
      <w:tr>
        <w:tc>
          <w:tcPr>
            <w:tcW w:type="dxa" w:w="44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Essais au sol (moteurs coupés)</w:t>
            </w:r>
          </w:p>
        </w:tc>
        <w:tc>
          <w:tcPr>
            <w:tcW w:type="dxa" w:w="3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Aucun mouvement hors intention</w:t>
            </w:r>
          </w:p>
        </w:tc>
        <w:tc>
          <w:tcPr>
            <w:tcW w:type="dxa" w:w="17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Logs + vidéo</w:t>
            </w:r>
          </w:p>
        </w:tc>
      </w:tr>
      <w:tr>
        <w:tc>
          <w:tcPr>
            <w:tcW w:type="dxa" w:w="44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Essais en zone sans personnes — altitude seule</w:t>
            </w:r>
          </w:p>
        </w:tc>
        <w:tc>
          <w:tcPr>
            <w:tcW w:type="dxa" w:w="3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Montée/descente douce, arrêt en zone morte</w:t>
            </w:r>
          </w:p>
        </w:tc>
        <w:tc>
          <w:tcPr>
            <w:tcW w:type="dxa" w:w="17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Logs + vidéo</w:t>
            </w:r>
          </w:p>
        </w:tc>
      </w:tr>
      <w:tr>
        <w:tc>
          <w:tcPr>
            <w:tcW w:type="dxa" w:w="44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Essais latéraux graduels</w:t>
            </w:r>
          </w:p>
        </w:tc>
        <w:tc>
          <w:tcPr>
            <w:tcW w:type="dxa" w:w="3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Décalage borné, pas d'oscillation</w:t>
            </w:r>
          </w:p>
        </w:tc>
        <w:tc>
          <w:tcPr>
            <w:tcW w:type="dxa" w:w="17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Logs + vidéo</w:t>
            </w:r>
          </w:p>
        </w:tc>
      </w:tr>
      <w:tr>
        <w:tc>
          <w:tcPr>
            <w:tcW w:type="dxa" w:w="44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Injection de perte YOLO</w:t>
            </w:r>
          </w:p>
        </w:tc>
        <w:tc>
          <w:tcPr>
            <w:tcW w:type="dxa" w:w="3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Commande → zéro immédiat</w:t>
            </w:r>
          </w:p>
        </w:tc>
        <w:tc>
          <w:tcPr>
            <w:tcW w:type="dxa" w:w="17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Logs</w:t>
            </w:r>
          </w:p>
        </w:tc>
      </w:tr>
      <w:tr>
        <w:tc>
          <w:tcPr>
            <w:tcW w:type="dxa" w:w="44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Injection de perte vidéo</w:t>
            </w:r>
          </w:p>
        </w:tc>
        <w:tc>
          <w:tcPr>
            <w:tcW w:type="dxa" w:w="3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Commande → zéro immédiat</w:t>
            </w:r>
          </w:p>
        </w:tc>
        <w:tc>
          <w:tcPr>
            <w:tcW w:type="dxa" w:w="17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Logs</w:t>
            </w:r>
          </w:p>
        </w:tc>
      </w:tr>
      <w:tr>
        <w:tc>
          <w:tcPr>
            <w:tcW w:type="dxa" w:w="44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Fermeture forcée de l'application</w:t>
            </w:r>
          </w:p>
        </w:tc>
        <w:tc>
          <w:tcPr>
            <w:tcW w:type="dxa" w:w="3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Pas d'emballement ; reprise manuelle OK</w:t>
            </w:r>
          </w:p>
        </w:tc>
        <w:tc>
          <w:tcPr>
            <w:tcW w:type="dxa" w:w="17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Vidéo</w:t>
            </w:r>
          </w:p>
        </w:tc>
      </w:tr>
      <w:tr>
        <w:tc>
          <w:tcPr>
            <w:tcW w:type="dxa" w:w="44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Perte de liaison radiocommande</w:t>
            </w:r>
          </w:p>
        </w:tc>
        <w:tc>
          <w:tcPr>
            <w:tcW w:type="dxa" w:w="3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Failsafe DJI déclenché ; procédure suivie</w:t>
            </w:r>
          </w:p>
        </w:tc>
        <w:tc>
          <w:tcPr>
            <w:tcW w:type="dxa" w:w="17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Vidéo</w:t>
            </w:r>
          </w:p>
        </w:tc>
      </w:tr>
      <w:tr>
        <w:tc>
          <w:tcPr>
            <w:tcW w:type="dxa" w:w="44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Mesure de latence de bout en bout</w:t>
            </w:r>
          </w:p>
        </w:tc>
        <w:tc>
          <w:tcPr>
            <w:tcW w:type="dxa" w:w="3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 seuil défini ; commandes périmées neutralisées</w:t>
            </w:r>
          </w:p>
        </w:tc>
        <w:tc>
          <w:tcPr>
            <w:tcW w:type="dxa" w:w="17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Mesures</w:t>
            </w:r>
          </w:p>
        </w:tc>
      </w:tr>
      <w:tr>
        <w:tc>
          <w:tcPr>
            <w:tcW w:type="dxa" w:w="44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Mesure du taux de commandes</w:t>
            </w:r>
          </w:p>
        </w:tc>
        <w:tc>
          <w:tcPr>
            <w:tcW w:type="dxa" w:w="3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Dans les bornes min/max définies</w:t>
            </w:r>
          </w:p>
        </w:tc>
        <w:tc>
          <w:tcPr>
            <w:tcW w:type="dxa" w:w="17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Mesures</w:t>
            </w:r>
          </w:p>
        </w:tc>
      </w:tr>
      <w:tr>
        <w:tc>
          <w:tcPr>
            <w:tcW w:type="dxa" w:w="44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Essais de reprise manuelle sous chaque mode</w:t>
            </w:r>
          </w:p>
        </w:tc>
        <w:tc>
          <w:tcPr>
            <w:tcW w:type="dxa" w:w="3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Reprise immédiate à chaque fois</w:t>
            </w:r>
          </w:p>
        </w:tc>
        <w:tc>
          <w:tcPr>
            <w:tcW w:type="dxa" w:w="17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Vidéo</w:t>
            </w:r>
          </w:p>
        </w:tc>
      </w:tr>
    </w:tbl>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Consigner les résultats réels, les dates, l'aéronef utilisé, et joindre les journaux. Définir les seuils chiffrés (latence, taux de commandes, vent maximal).</w:t>
      </w:r>
    </w:p>
    <w:p>
      <w:r>
        <w:br w:type="page"/>
      </w:r>
    </w:p>
    <w:p>
      <w:pPr>
        <w:pStyle w:val="Heading1"/>
        <w:spacing w:after="140" w:before="280"/>
      </w:pPr>
      <w:r>
        <w:rPr>
          <w:rFonts w:ascii="Calibri" w:cs="Calibri" w:eastAsia="Calibri" w:hAnsi="Calibri"/>
          <w:b/>
          <w:bCs/>
          <w:color w:val="1F3864"/>
        </w:rPr>
        <w:t xml:space="preserve">7. Procédures opérationnelles</w:t>
      </w:r>
    </w:p>
    <w:p>
      <w:pPr>
        <w:pStyle w:val="Heading2"/>
        <w:spacing w:after="100" w:before="200"/>
      </w:pPr>
      <w:r>
        <w:rPr>
          <w:rFonts w:ascii="Calibri" w:cs="Calibri" w:eastAsia="Calibri" w:hAnsi="Calibri"/>
          <w:b/>
          <w:bCs/>
          <w:color w:val="1F3864"/>
        </w:rPr>
        <w:t xml:space="preserve">7.1 Avant le vol</w:t>
      </w:r>
    </w:p>
    <w:p>
      <w:pPr>
        <w:pStyle w:val="ListParagraph"/>
        <w:numPr>
          <w:ilvl w:val="0"/>
          <w:numId w:val="1"/>
        </w:numPr>
        <w:spacing w:after="60" w:line="270"/>
      </w:pPr>
      <w:r>
        <w:rPr>
          <w:rFonts w:ascii="Calibri" w:cs="Calibri" w:eastAsia="Calibri" w:hAnsi="Calibri"/>
          <w:sz w:val="21"/>
          <w:szCs w:val="21"/>
        </w:rPr>
        <w:t xml:space="preserve">Breffage avec l'organisateur de l'événement (rôles, périmètre, arrêt d'urgence).</w:t>
      </w:r>
    </w:p>
    <w:p>
      <w:pPr>
        <w:pStyle w:val="ListParagraph"/>
        <w:numPr>
          <w:ilvl w:val="0"/>
          <w:numId w:val="1"/>
        </w:numPr>
        <w:spacing w:after="60" w:line="270"/>
      </w:pPr>
      <w:r>
        <w:rPr>
          <w:rFonts w:ascii="Calibri" w:cs="Calibri" w:eastAsia="Calibri" w:hAnsi="Calibri"/>
          <w:sz w:val="21"/>
          <w:szCs w:val="21"/>
        </w:rPr>
        <w:t xml:space="preserve">Breffage des joueurs et des arbitres ; recueil des consentements.</w:t>
      </w:r>
    </w:p>
    <w:p>
      <w:pPr>
        <w:pStyle w:val="ListParagraph"/>
        <w:numPr>
          <w:ilvl w:val="0"/>
          <w:numId w:val="1"/>
        </w:numPr>
        <w:spacing w:after="60" w:line="270"/>
      </w:pPr>
      <w:r>
        <w:rPr>
          <w:rFonts w:ascii="Calibri" w:cs="Calibri" w:eastAsia="Calibri" w:hAnsi="Calibri"/>
          <w:sz w:val="21"/>
          <w:szCs w:val="21"/>
        </w:rPr>
        <w:t xml:space="preserve">Inspection du terrain et du volume de vol ; vérification du polygone/géorepérage.</w:t>
      </w:r>
    </w:p>
    <w:p>
      <w:pPr>
        <w:pStyle w:val="ListParagraph"/>
        <w:numPr>
          <w:ilvl w:val="0"/>
          <w:numId w:val="1"/>
        </w:numPr>
        <w:spacing w:after="60" w:line="270"/>
      </w:pPr>
      <w:r>
        <w:rPr>
          <w:rFonts w:ascii="Calibri" w:cs="Calibri" w:eastAsia="Calibri" w:hAnsi="Calibri"/>
          <w:sz w:val="21"/>
          <w:szCs w:val="21"/>
        </w:rPr>
        <w:t xml:space="preserve">Vérification météo par rapport aux critères (vent, précipitations, visibilité).</w:t>
      </w:r>
    </w:p>
    <w:p>
      <w:pPr>
        <w:pStyle w:val="ListParagraph"/>
        <w:numPr>
          <w:ilvl w:val="0"/>
          <w:numId w:val="1"/>
        </w:numPr>
        <w:spacing w:after="60" w:line="270"/>
      </w:pPr>
      <w:r>
        <w:rPr>
          <w:rFonts w:ascii="Calibri" w:cs="Calibri" w:eastAsia="Calibri" w:hAnsi="Calibri"/>
          <w:sz w:val="21"/>
          <w:szCs w:val="21"/>
        </w:rPr>
        <w:t xml:space="preserve">Vérification de l'aéronef, batteries, hélices, station de contrôle, liaisons.</w:t>
      </w:r>
    </w:p>
    <w:p>
      <w:pPr>
        <w:pStyle w:val="ListParagraph"/>
        <w:numPr>
          <w:ilvl w:val="0"/>
          <w:numId w:val="1"/>
        </w:numPr>
        <w:spacing w:after="60" w:line="270"/>
      </w:pPr>
      <w:r>
        <w:rPr>
          <w:rFonts w:ascii="Calibri" w:cs="Calibri" w:eastAsia="Calibri" w:hAnsi="Calibri"/>
          <w:sz w:val="21"/>
          <w:szCs w:val="21"/>
        </w:rPr>
        <w:t xml:space="preserve">Confirmation que les deux verrous d'émission sont dans l'état voulu et le mode désarmé au démarrage.</w:t>
      </w:r>
    </w:p>
    <w:p>
      <w:pPr>
        <w:pStyle w:val="ListParagraph"/>
        <w:numPr>
          <w:ilvl w:val="0"/>
          <w:numId w:val="1"/>
        </w:numPr>
        <w:spacing w:after="60" w:line="270"/>
      </w:pPr>
      <w:r>
        <w:rPr>
          <w:rFonts w:ascii="Calibri" w:cs="Calibri" w:eastAsia="Calibri" w:hAnsi="Calibri"/>
          <w:sz w:val="21"/>
          <w:szCs w:val="21"/>
        </w:rPr>
        <w:t xml:space="preserve">Définition des zones de décollage/atterrissage et de la zone d'atterrissage d'urgence.</w:t>
      </w:r>
    </w:p>
    <w:p>
      <w:pPr>
        <w:pStyle w:val="ListParagraph"/>
        <w:numPr>
          <w:ilvl w:val="0"/>
          <w:numId w:val="1"/>
        </w:numPr>
        <w:spacing w:after="60" w:line="270"/>
      </w:pPr>
      <w:r>
        <w:rPr>
          <w:rFonts w:ascii="Calibri" w:cs="Calibri" w:eastAsia="Calibri" w:hAnsi="Calibri"/>
          <w:sz w:val="21"/>
          <w:szCs w:val="21"/>
        </w:rPr>
        <w:t xml:space="preserve">Mots de commande convenus entre pilote et observateur(s).</w:t>
      </w:r>
    </w:p>
    <w:p>
      <w:pPr>
        <w:pStyle w:val="Heading2"/>
        <w:spacing w:after="100" w:before="200"/>
      </w:pPr>
      <w:r>
        <w:rPr>
          <w:rFonts w:ascii="Calibri" w:cs="Calibri" w:eastAsia="Calibri" w:hAnsi="Calibri"/>
          <w:b/>
          <w:bCs/>
          <w:color w:val="1F3864"/>
        </w:rPr>
        <w:t xml:space="preserve">7.2 Pendant le vol</w:t>
      </w:r>
    </w:p>
    <w:p>
      <w:pPr>
        <w:pStyle w:val="ListParagraph"/>
        <w:numPr>
          <w:ilvl w:val="0"/>
          <w:numId w:val="1"/>
        </w:numPr>
        <w:spacing w:after="60" w:line="270"/>
      </w:pPr>
      <w:r>
        <w:rPr>
          <w:rFonts w:ascii="Calibri" w:cs="Calibri" w:eastAsia="Calibri" w:hAnsi="Calibri"/>
          <w:sz w:val="21"/>
          <w:szCs w:val="21"/>
        </w:rPr>
        <w:t xml:space="preserve">Maintien VLOS permanent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état d'émission, phase, altitude).</w:t>
      </w:r>
    </w:p>
    <w:p>
      <w:pPr>
        <w:pStyle w:val="ListParagraph"/>
        <w:numPr>
          <w:ilvl w:val="0"/>
          <w:numId w:val="1"/>
        </w:numPr>
        <w:spacing w:after="60" w:line="270"/>
      </w:pPr>
      <w:r>
        <w:rPr>
          <w:rFonts w:ascii="Calibri" w:cs="Calibri" w:eastAsia="Calibri" w:hAnsi="Calibri"/>
          <w:sz w:val="21"/>
          <w:szCs w:val="21"/>
        </w:rPr>
        <w:t xml:space="preserve">Le pilote garde la main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du périmètre et du public par l'observateur ; alerte immédiate au pilote.</w:t>
      </w:r>
    </w:p>
    <w:p>
      <w:pPr>
        <w:pStyle w:val="Heading2"/>
        <w:spacing w:after="100" w:before="200"/>
      </w:pPr>
      <w:r>
        <w:rPr>
          <w:rFonts w:ascii="Calibri" w:cs="Calibri" w:eastAsia="Calibri" w:hAnsi="Calibri"/>
          <w:b/>
          <w:bCs/>
          <w:color w:val="1F3864"/>
        </w:rPr>
        <w:t xml:space="preserve">7.3 Procédures d'urgence</w:t>
      </w:r>
    </w:p>
    <w:p>
      <w:pPr>
        <w:pStyle w:val="ListParagraph"/>
        <w:numPr>
          <w:ilvl w:val="0"/>
          <w:numId w:val="1"/>
        </w:numPr>
        <w:spacing w:after="60" w:line="270"/>
      </w:pPr>
      <w:r>
        <w:rPr>
          <w:rFonts w:ascii="Calibri" w:cs="Calibri" w:eastAsia="Calibri" w:hAnsi="Calibri"/>
          <w:sz w:val="21"/>
          <w:szCs w:val="21"/>
        </w:rPr>
        <w:t xml:space="preserve">Intrusion dans le périmètre : arrêt du mouvement, éloignement, interruption si nécessaire.</w:t>
      </w:r>
    </w:p>
    <w:p>
      <w:pPr>
        <w:pStyle w:val="ListParagraph"/>
        <w:numPr>
          <w:ilvl w:val="0"/>
          <w:numId w:val="1"/>
        </w:numPr>
        <w:spacing w:after="60" w:line="270"/>
      </w:pPr>
      <w:r>
        <w:rPr>
          <w:rFonts w:ascii="Calibri" w:cs="Calibri" w:eastAsia="Calibri" w:hAnsi="Calibri"/>
          <w:sz w:val="21"/>
          <w:szCs w:val="21"/>
        </w:rPr>
        <w:t xml:space="preserve">Perte de liaison : appliquer le failsafe DJI (RTH/hover selon config) et la procédure.</w:t>
      </w:r>
    </w:p>
    <w:p>
      <w:pPr>
        <w:pStyle w:val="ListParagraph"/>
        <w:numPr>
          <w:ilvl w:val="0"/>
          <w:numId w:val="1"/>
        </w:numPr>
        <w:spacing w:after="60" w:line="270"/>
      </w:pPr>
      <w:r>
        <w:rPr>
          <w:rFonts w:ascii="Calibri" w:cs="Calibri" w:eastAsia="Calibri" w:hAnsi="Calibri"/>
          <w:sz w:val="21"/>
          <w:szCs w:val="21"/>
        </w:rPr>
        <w:t xml:space="preserve">Comportement anormal du logiciel : reprise manuelle immédiate, désarmement, atterrissage.</w:t>
      </w:r>
    </w:p>
    <w:p>
      <w:pPr>
        <w:pStyle w:val="ListParagraph"/>
        <w:numPr>
          <w:ilvl w:val="0"/>
          <w:numId w:val="1"/>
        </w:numPr>
        <w:spacing w:after="60" w:line="270"/>
      </w:pPr>
      <w:r>
        <w:rPr>
          <w:rFonts w:ascii="Calibri" w:cs="Calibri" w:eastAsia="Calibri" w:hAnsi="Calibri"/>
          <w:sz w:val="21"/>
          <w:szCs w:val="21"/>
        </w:rPr>
        <w:t xml:space="preserve">Conditions météo hors limites : interruption et atterrissage.</w:t>
      </w:r>
    </w:p>
    <w:p>
      <w:pPr>
        <w:pStyle w:val="ListParagraph"/>
        <w:numPr>
          <w:ilvl w:val="0"/>
          <w:numId w:val="1"/>
        </w:numPr>
        <w:spacing w:after="60" w:line="270"/>
      </w:pPr>
      <w:r>
        <w:rPr>
          <w:rFonts w:ascii="Calibri" w:cs="Calibri" w:eastAsia="Calibri" w:hAnsi="Calibri"/>
          <w:sz w:val="21"/>
          <w:szCs w:val="21"/>
        </w:rPr>
        <w:t xml:space="preserve">Procédure d'interruption du match / de suspension de l'opération.</w:t>
      </w:r>
    </w:p>
    <w:p>
      <w:pPr>
        <w:pStyle w:val="ListParagraph"/>
        <w:numPr>
          <w:ilvl w:val="0"/>
          <w:numId w:val="1"/>
        </w:numPr>
        <w:spacing w:after="60" w:line="270"/>
      </w:pPr>
      <w:r>
        <w:rPr>
          <w:rFonts w:ascii="Calibri" w:cs="Calibri" w:eastAsia="Calibri" w:hAnsi="Calibri"/>
          <w:sz w:val="21"/>
          <w:szCs w:val="21"/>
        </w:rPr>
        <w:t xml:space="preserve">Procédure après incident : sécurisation, consignation, conservation des journaux, avis aux autorités si requis.</w:t>
      </w:r>
    </w:p>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Détailler chaque procédure d'urgence par étapes numérotées, désigner la personne responsable d'appeler les secours, et décrire la gestion du public.</w:t>
      </w:r>
    </w:p>
    <w:p>
      <w:pPr>
        <w:pStyle w:val="Heading2"/>
        <w:spacing w:after="100" w:before="200"/>
      </w:pPr>
      <w:r>
        <w:rPr>
          <w:rFonts w:ascii="Calibri" w:cs="Calibri" w:eastAsia="Calibri" w:hAnsi="Calibri"/>
          <w:b/>
          <w:bCs/>
          <w:color w:val="1F3864"/>
        </w:rPr>
        <w:t xml:space="preserve">7.4 Communications et observateurs</w:t>
      </w:r>
    </w:p>
    <w:p>
      <w:pPr>
        <w:spacing w:after="100" w:line="276"/>
      </w:pPr>
      <w:r>
        <w:rPr>
          <w:rFonts w:ascii="Calibri" w:cs="Calibri" w:eastAsia="Calibri" w:hAnsi="Calibri"/>
          <w:sz w:val="21"/>
          <w:szCs w:val="21"/>
        </w:rPr>
        <w:t xml:space="preserve">Lorsque des observateurs visuels sont utilisés, ils doivent maintenir une communication fiable avec le pilote et lui transmettre rapidement tout danger (aéronef habité, intrusion, obstacle). Décrire le moyen de communication et les phrases standard.</w:t>
      </w:r>
    </w:p>
    <w:p>
      <w:pPr>
        <w:pStyle w:val="Heading2"/>
        <w:spacing w:after="100" w:before="200"/>
      </w:pPr>
      <w:r>
        <w:rPr>
          <w:rFonts w:ascii="Calibri" w:cs="Calibri" w:eastAsia="Calibri" w:hAnsi="Calibri"/>
          <w:b/>
          <w:bCs/>
          <w:color w:val="1F3864"/>
        </w:rPr>
        <w:t xml:space="preserve">7.5 Journalisation</w:t>
      </w:r>
    </w:p>
    <w:p>
      <w:pPr>
        <w:spacing w:after="100" w:line="276"/>
      </w:pPr>
      <w:r>
        <w:rPr>
          <w:rFonts w:ascii="Calibri" w:cs="Calibri" w:eastAsia="Calibri" w:hAnsi="Calibri"/>
          <w:sz w:val="21"/>
          <w:szCs w:val="21"/>
        </w:rPr>
        <w:t xml:space="preserve">Le système journalise les décisions d'émission (état des verrous, source retenue par l'arbitre, commande finale, raison). Ces journaux constituent une preuve après opération. Ils doivent être conservés selon une politique définie et joints aux rapports de conformité de vol.</w:t>
      </w:r>
    </w:p>
    <w:p>
      <w:r>
        <w:br w:type="page"/>
      </w:r>
    </w:p>
    <w:p>
      <w:pPr>
        <w:pStyle w:val="Heading1"/>
        <w:spacing w:after="140" w:before="280"/>
      </w:pPr>
      <w:r>
        <w:rPr>
          <w:rFonts w:ascii="Calibri" w:cs="Calibri" w:eastAsia="Calibri" w:hAnsi="Calibri"/>
          <w:b/>
          <w:bCs/>
          <w:color w:val="1F3864"/>
        </w:rPr>
        <w:t xml:space="preserve">8. Pièces administratives et check-list de dépôt</w:t>
      </w:r>
    </w:p>
    <w:p>
      <w:pPr>
        <w:spacing w:after="100" w:line="276"/>
      </w:pPr>
      <w:r>
        <w:rPr>
          <w:rFonts w:ascii="Calibri" w:cs="Calibri" w:eastAsia="Calibri" w:hAnsi="Calibri"/>
          <w:sz w:val="21"/>
          <w:szCs w:val="21"/>
        </w:rPr>
        <w:t xml:space="preserve">Éléments à joindre ou à confirmer pour une demande complète (réduit les demandes d'information supplémentaires)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Pièce</w:t>
            </w:r>
          </w:p>
        </w:tc>
        <w:tc>
          <w:tcPr>
            <w:tcW w:type="dxa" w:w="3160"/>
            <w:shd w:fill="1F3864" w:color="auto" w:val="clear"/>
            <w:tcMar>
              <w:top w:type="dxa" w:w="40"/>
              <w:left w:type="dxa" w:w="80"/>
              <w:bottom w:type="dxa" w:w="40"/>
              <w:right w:type="dxa" w:w="80"/>
            </w:tcMar>
          </w:tcPr>
          <w:p>
            <w:pPr>
              <w:jc w:val="left"/>
            </w:pPr>
            <w:r>
              <w:rPr>
                <w:rFonts w:ascii="Calibri" w:cs="Calibri" w:eastAsia="Calibri" w:hAnsi="Calibri"/>
                <w:b/>
                <w:bCs/>
                <w:color w:val="FFFFFF"/>
                <w:sz w:val="19"/>
                <w:szCs w:val="19"/>
              </w:rPr>
              <w:t xml:space="preserve">État</w:t>
            </w:r>
          </w:p>
        </w:tc>
      </w:tr>
      <w:tr>
        <w:tc>
          <w:tcPr>
            <w:tcW w:type="dxa" w:w="6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Formulaire de demande de SFOC-RPAS (TC 24-0109)</w:t>
            </w:r>
          </w:p>
        </w:tc>
        <w:tc>
          <w:tcPr>
            <w:tcW w:type="dxa" w:w="3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w:t>
            </w:r>
          </w:p>
        </w:tc>
      </w:tr>
      <w:tr>
        <w:tc>
          <w:tcPr>
            <w:tcW w:type="dxa" w:w="6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Certificat de pilote — opérations avancées (drone ≥ 250 g)</w:t>
            </w:r>
          </w:p>
        </w:tc>
        <w:tc>
          <w:tcPr>
            <w:tcW w:type="dxa" w:w="3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w:t>
            </w:r>
          </w:p>
        </w:tc>
      </w:tr>
      <w:tr>
        <w:tc>
          <w:tcPr>
            <w:tcW w:type="dxa" w:w="6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Immatriculation du drone (≥ 250 g)</w:t>
            </w:r>
          </w:p>
        </w:tc>
        <w:tc>
          <w:tcPr>
            <w:tcW w:type="dxa" w:w="3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w:t>
            </w:r>
          </w:p>
        </w:tc>
      </w:tr>
      <w:tr>
        <w:tc>
          <w:tcPr>
            <w:tcW w:type="dxa" w:w="6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Fabricant et modèle du drone</w:t>
            </w:r>
          </w:p>
        </w:tc>
        <w:tc>
          <w:tcPr>
            <w:tcW w:type="dxa" w:w="3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w:t>
            </w:r>
          </w:p>
        </w:tc>
      </w:tr>
      <w:tr>
        <w:tc>
          <w:tcPr>
            <w:tcW w:type="dxa" w:w="6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Déclaration(s) d'assurance de sécurité (922.05 / 922.06)</w:t>
            </w:r>
          </w:p>
        </w:tc>
        <w:tc>
          <w:tcPr>
            <w:tcW w:type="dxa" w:w="3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w:t>
            </w:r>
          </w:p>
        </w:tc>
      </w:tr>
      <w:tr>
        <w:tc>
          <w:tcPr>
            <w:tcW w:type="dxa" w:w="6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Permission de l'organisateur de l'événement</w:t>
            </w:r>
          </w:p>
        </w:tc>
        <w:tc>
          <w:tcPr>
            <w:tcW w:type="dxa" w:w="3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w:t>
            </w:r>
          </w:p>
        </w:tc>
      </w:tr>
      <w:tr>
        <w:tc>
          <w:tcPr>
            <w:tcW w:type="dxa" w:w="6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Permission du propriétaire du terrain</w:t>
            </w:r>
          </w:p>
        </w:tc>
        <w:tc>
          <w:tcPr>
            <w:tcW w:type="dxa" w:w="3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w:t>
            </w:r>
          </w:p>
        </w:tc>
      </w:tr>
      <w:tr>
        <w:tc>
          <w:tcPr>
            <w:tcW w:type="dxa" w:w="6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Carte aéronautique / analyse d'espace aérien</w:t>
            </w:r>
          </w:p>
        </w:tc>
        <w:tc>
          <w:tcPr>
            <w:tcW w:type="dxa" w:w="3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w:t>
            </w:r>
          </w:p>
        </w:tc>
      </w:tr>
      <w:tr>
        <w:tc>
          <w:tcPr>
            <w:tcW w:type="dxa" w:w="6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Coordonnées de l'exploitant</w:t>
            </w:r>
          </w:p>
        </w:tc>
        <w:tc>
          <w:tcPr>
            <w:tcW w:type="dxa" w:w="3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w:t>
            </w:r>
          </w:p>
        </w:tc>
      </w:tr>
      <w:tr>
        <w:tc>
          <w:tcPr>
            <w:tcW w:type="dxa" w:w="6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Dates et heures demandées</w:t>
            </w:r>
          </w:p>
        </w:tc>
        <w:tc>
          <w:tcPr>
            <w:tcW w:type="dxa" w:w="3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w:t>
            </w:r>
          </w:p>
        </w:tc>
      </w:tr>
      <w:tr>
        <w:tc>
          <w:tcPr>
            <w:tcW w:type="dxa" w:w="6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Attestation d'assurance</w:t>
            </w:r>
          </w:p>
        </w:tc>
        <w:tc>
          <w:tcPr>
            <w:tcW w:type="dxa" w:w="3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w:t>
            </w:r>
          </w:p>
        </w:tc>
      </w:tr>
      <w:tr>
        <w:tc>
          <w:tcPr>
            <w:tcW w:type="dxa" w:w="6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Manuel d'exploitation</w:t>
            </w:r>
          </w:p>
        </w:tc>
        <w:tc>
          <w:tcPr>
            <w:tcW w:type="dxa" w:w="3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w:t>
            </w:r>
          </w:p>
        </w:tc>
      </w:tr>
      <w:tr>
        <w:tc>
          <w:tcPr>
            <w:tcW w:type="dxa" w:w="6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Plan d'intervention d'urgence</w:t>
            </w:r>
          </w:p>
        </w:tc>
        <w:tc>
          <w:tcPr>
            <w:tcW w:type="dxa" w:w="3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w:t>
            </w:r>
          </w:p>
        </w:tc>
      </w:tr>
      <w:tr>
        <w:tc>
          <w:tcPr>
            <w:tcW w:type="dxa" w:w="6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Dossier de maintenance</w:t>
            </w:r>
          </w:p>
        </w:tc>
        <w:tc>
          <w:tcPr>
            <w:tcW w:type="dxa" w:w="3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w:t>
            </w:r>
          </w:p>
        </w:tc>
      </w:tr>
      <w:tr>
        <w:tc>
          <w:tcPr>
            <w:tcW w:type="dxa" w:w="620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Caractéristiques du constructeur</w:t>
            </w:r>
          </w:p>
        </w:tc>
        <w:tc>
          <w:tcPr>
            <w:tcW w:type="dxa" w:w="3160"/>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[À COMPLÉTER]</w:t>
            </w:r>
          </w:p>
        </w:tc>
      </w:tr>
      <w:tr>
        <w:tc>
          <w:tcPr>
            <w:tcW w:type="dxa" w:w="6200"/>
            <w:shd w:fill="E2EFDA"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Ce dossier de sécurité (CONOPS + risques + essais + procédures)</w:t>
            </w:r>
          </w:p>
        </w:tc>
        <w:tc>
          <w:tcPr>
            <w:tcW w:type="dxa" w:w="3160"/>
            <w:shd w:fill="E2EFDA" w:color="auto" w:val="clear"/>
            <w:tcMar>
              <w:top w:type="dxa" w:w="40"/>
              <w:left w:type="dxa" w:w="80"/>
              <w:bottom w:type="dxa" w:w="40"/>
              <w:right w:type="dxa" w:w="80"/>
            </w:tcMar>
          </w:tcPr>
          <w:p>
            <w:pPr>
              <w:jc w:val="left"/>
            </w:pPr>
            <w:r>
              <w:rPr>
                <w:rFonts w:ascii="Calibri" w:cs="Calibri" w:eastAsia="Calibri" w:hAnsi="Calibri"/>
                <w:b w:val="false"/>
                <w:bCs w:val="false"/>
                <w:color w:val="000000"/>
                <w:sz w:val="19"/>
                <w:szCs w:val="19"/>
              </w:rPr>
              <w:t xml:space="preserve">Présent (ébauche)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par courriel au Centre SATP (RPAS) — TC.RPASCentre-CentreSATP.TC@tc.gc.ca. Délai de service : jusqu'à 30 jours ouvrables après réception d'une demande complète.</w:t>
      </w:r>
    </w:p>
    <w:p>
      <w:pPr>
        <w:pStyle w:val="Heading2"/>
        <w:spacing w:after="100" w:before="200"/>
      </w:pPr>
      <w:r>
        <w:rPr>
          <w:rFonts w:ascii="Calibri" w:cs="Calibri" w:eastAsia="Calibri" w:hAnsi="Calibri"/>
          <w:b/>
          <w:bCs/>
          <w:color w:val="1F3864"/>
        </w:rPr>
        <w:t xml:space="preserve">8.1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(le présent dossier) — produit AVANT l'opération : CONOPS, risques, essais, procédures, admissibilité, pièces.</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produit APRÈS chaque mission à partir des journaux : ce qui s'est réellement passé, écarts, incidents. Il complète, sans le remplacer, le dossier d'autorisation.</w:t>
      </w:r>
    </w:p>
    <w:p>
      <w:r>
        <w:br w:type="page"/>
      </w:r>
    </w:p>
    <w:p>
      <w:pPr>
        <w:pStyle w:val="Heading1"/>
        <w:spacing w:after="140" w:before="280"/>
      </w:pPr>
      <w:r>
        <w:rPr>
          <w:rFonts w:ascii="Calibri" w:cs="Calibri" w:eastAsia="Calibri" w:hAnsi="Calibri"/>
          <w:b/>
          <w:bCs/>
          <w:color w:val="1F3864"/>
        </w:rPr>
        <w:t xml:space="preserve">9. Références réglementaires</w:t>
      </w:r>
    </w:p>
    <w:p>
      <w:pPr>
        <w:spacing w:after="100" w:line="276"/>
      </w:pPr>
      <w:r>
        <w:rPr>
          <w:rFonts w:ascii="Calibri" w:cs="Calibri" w:eastAsia="Calibri" w:hAnsi="Calibri"/>
          <w:sz w:val="21"/>
          <w:szCs w:val="21"/>
        </w:rPr>
        <w:t xml:space="preserve">Sources officielles consultées (dernière modification de la page « événement annoncé » : 2026-03-19) :</w:t>
      </w:r>
    </w:p>
    <w:p>
      <w:pPr>
        <w:pStyle w:val="ListParagraph"/>
        <w:numPr>
          <w:ilvl w:val="0"/>
          <w:numId w:val="1"/>
        </w:numPr>
        <w:spacing w:after="60" w:line="270"/>
      </w:pPr>
      <w:r>
        <w:rPr>
          <w:rFonts w:ascii="Calibri" w:cs="Calibri" w:eastAsia="Calibri" w:hAnsi="Calibri"/>
          <w:sz w:val="21"/>
          <w:szCs w:val="21"/>
        </w:rPr>
        <w:t xml:space="preserve">Transports Canada — Piloter votre drone lors d'un événement annoncé (SFOC-RPAS requis dans les 30 m ; microdrones inclus depuis 2025-04-01 ; frais depuis 2025-11-04 ; déclarations 922.05/922.06 ; dépôt et délai 30 jours ouvrables). tc.canada.ca/…/flying-your-drone-advertised-event</w:t>
      </w:r>
    </w:p>
    <w:p>
      <w:pPr>
        <w:pStyle w:val="ListParagraph"/>
        <w:numPr>
          <w:ilvl w:val="0"/>
          <w:numId w:val="1"/>
        </w:numPr>
        <w:spacing w:after="60" w:line="270"/>
      </w:pPr>
      <w:r>
        <w:rPr>
          <w:rFonts w:ascii="Calibri" w:cs="Calibri" w:eastAsia="Calibri" w:hAnsi="Calibri"/>
          <w:sz w:val="21"/>
          <w:szCs w:val="21"/>
        </w:rPr>
        <w:t xml:space="preserve">Transports Canada — Norme 922 : Assurance de sécurité des SATP (exigences techniques 922.05 « près des personnes » et 922.06 « au-dessus des personnes »).</w:t>
      </w:r>
    </w:p>
    <w:p>
      <w:pPr>
        <w:pStyle w:val="ListParagraph"/>
        <w:numPr>
          <w:ilvl w:val="0"/>
          <w:numId w:val="1"/>
        </w:numPr>
        <w:spacing w:after="60" w:line="270"/>
      </w:pPr>
      <w:r>
        <w:rPr>
          <w:rFonts w:ascii="Calibri" w:cs="Calibri" w:eastAsia="Calibri" w:hAnsi="Calibri"/>
          <w:sz w:val="21"/>
          <w:szCs w:val="21"/>
        </w:rPr>
        <w:t xml:space="preserve">Transports Canada — Circulaire d'information AC 903-002 : Lignes directrices pour une demande de SFOC-RPAS.</w:t>
      </w:r>
    </w:p>
    <w:p>
      <w:pPr>
        <w:pStyle w:val="ListParagraph"/>
        <w:numPr>
          <w:ilvl w:val="0"/>
          <w:numId w:val="1"/>
        </w:numPr>
        <w:spacing w:after="60" w:line="270"/>
      </w:pPr>
      <w:r>
        <w:rPr>
          <w:rFonts w:ascii="Calibri" w:cs="Calibri" w:eastAsia="Calibri" w:hAnsi="Calibri"/>
          <w:sz w:val="21"/>
          <w:szCs w:val="21"/>
        </w:rPr>
        <w:t xml:space="preserve">Règlement de l'aviation canadien (RAC), Partie IX — Systèmes d'aéronefs télépilotés (dont art. 901.69 et rôle des observateurs visuels).</w:t>
      </w:r>
    </w:p>
    <w:p>
      <w:pPr>
        <w:pStyle w:val="ListParagraph"/>
        <w:numPr>
          <w:ilvl w:val="0"/>
          <w:numId w:val="1"/>
        </w:numPr>
        <w:spacing w:after="60" w:line="270"/>
      </w:pPr>
      <w:r>
        <w:rPr>
          <w:rFonts w:ascii="Calibri" w:cs="Calibri" w:eastAsia="Calibri" w:hAnsi="Calibri"/>
          <w:sz w:val="21"/>
          <w:szCs w:val="21"/>
        </w:rPr>
        <w:t xml:space="preserve">Transports Canada — Choisir le bon drone pour opérations avancées et complexes (liste des drones avec déclaration).</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de conformité : </w:t>
      </w:r>
      <w:r>
        <w:rPr>
          <w:rFonts w:ascii="Calibri" w:cs="Calibri" w:eastAsia="Calibri" w:hAnsi="Calibri"/>
          <w:sz w:val="21"/>
          <w:szCs w:val="21"/>
        </w:rPr>
        <w:t xml:space="preserve">ce document est une aide à la préparation. Il ne constitue ni un avis juridique, ni une garantie d'obtention du SFOC. L'exploitant demeure responsable de vérifier la réglementation en vigueur à la date du dépôt et de fournir une demande complète et exacte.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Ébauche — usage interne — </w:t>
    </w: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Dossier de sécurité SFOC-RPAS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rPr>
        <w:rFonts w:ascii="Calibri" w:cs="Calibri" w:eastAsia="Calibri" w:hAnsi="Calibri"/>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sécurité SFOC-RPAS — CineFlight Soccer</dc:title>
  <dc:creator>CineFlight</dc:creator>
  <cp:lastModifiedBy>Un-named</cp:lastModifiedBy>
  <cp:revision>1</cp:revision>
  <dcterms:created xsi:type="dcterms:W3CDTF">2026-07-20T07:52:17.886Z</dcterms:created>
  <dcterms:modified xsi:type="dcterms:W3CDTF">2026-07-20T07:52:17.886Z</dcterms:modified>
</cp:coreProperties>
</file>

<file path=docProps/custom.xml><?xml version="1.0" encoding="utf-8"?>
<Properties xmlns="http://schemas.openxmlformats.org/officeDocument/2006/custom-properties" xmlns:vt="http://schemas.openxmlformats.org/officeDocument/2006/docPropsVTypes"/>
</file>