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16.0 — Événement annoncé (snapshot atomique + watchdog implémentés)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‹nom› — CineFlight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commit ‹hash› ; APK ‹version›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‹modèle/SN› ; téléphone ‹modèle/Android›</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Nouveau §13 « Retours d'expérience administratifs — non crédités comme exigences » : tableau à statuts (confirmé officiellement / confirmé si faible complexité / bonne pratique rapportée / à confirmer par écrit / possible non garanti / interprétation à confirmer / non retenu). Faits officiels TC re-vérifiés : SFOC obligatoire pour tout drone (microdrones inclus depuis 2025-04-01) à un événement annoncé, sans exemption générale de 30 m ; grille de frais SFOC (20/75/900/2000 $ selon complexité) ; délai 30 j ouvrables dès dossier complet. Aucune affirmation de la vidéo Dawn Drones créditée comme exigence ; méthode « affiches = participants » et « règle des 5 m » explicitement NON retenues.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IMPLÉMENTATION de barrières logicielles (mise à jour de statut, avec preuves de code+tests) : NC-T2-001 snapshot atomique CLOSE (SafetySnapshotFactory : capture 1 passe, AtomicReference + génération, tests de concurrence) ; NC-T2-002 couverture du chemin 2D CLOSE (tests par condition) ; NC-T2-005 watchdog de cycle FAIT+testé (CommandeWatchdog → throttle 0 sur perte de cycle ; watchdog thread indépendant = amélioration future) ; journalisation haute fréquence 2D FAITE (Soccer2DEmissionLog). MAJ §2.3, §3.2, §6bis (RPN snapshot/watchdog 60→30), §10ter.5, tableau NC-T2, nœud GSN G4, feuille de route §12.1 (blocages logiciels levés ; restent physique/humain/opérationnel).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STATUT E-01 : signe des axes VALIDÉ AU SOL le 2026-07-20 — E-01a (throttle : monter +, descendre -, zone morte 0 ; ~470 cycles + test unitaire SoccerAltitudeThrottle) et E-01b (pitch/roll/yaw, 8 signes corrects). REQ-CTRL-SIGN-001 satisfaite côté SIGNE logiciel. Confirmation du SENS PHYSIQUE en vol (E-01 matériel) = dernière étape avant émission réelle. MAJ §1, §3, FMEA #44, matrice barrières, §10ter, GSN, feuille de route.</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Baseline certifié demandé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le périmètre certifié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purs,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Solide ; à relier aux preuves</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Faites ; couverture à joindre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45 %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Inventaire fait ; ALARP à finaliser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coordonnées, buffers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à calculer et démontrer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Campagne d'essais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40 %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détailler en étapes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rassembler et signer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35 %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non déposable</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délai physique À DÉMONTRER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comportement matériel À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confinement physique À CALCULER et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séparation À DÉMONTRER géométriquement (§4.3, §7-géom)</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 ; ALARP À FINALISER</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donc AUCUN objectif de confinement ou de protection comme acquis.</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Préciser la fréquence de la boucle de contrôle et le seuil d'âge maximal retenus (valeurs à confirmer par mesure), et ajouter, si implémenté, un watchdog/heartbeat matériel ou logiciel explicite.</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la politique de gestion des clés/API, la source d'installation autorisée de l'application, et la durée/lieu de conservation des journaux.</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Vérifier dans le code que le SafetySnapshot alimenté en mode 2D correspond exactement au chemin réellement emprunté (Emission2DGuard → arbitre), et renommer/clarifier les champs « rail » en 2D pour lever toute ambiguïté. Confirmer que la preuve 512 couvre bien le chemin 2D demandé.</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Ponctuel (un seul événement) — ‹ou récurrent : préciser la liste des dates/sites›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(ponctuel). Si récurrent : joindre le calendrier et l'analyse par site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le caractère ponctuel ou récurrent du SFOC. Si récurrent, chaque site/date doit avoir sa propre analyse (site, espace aérien, confinement).</w:t>
      </w:r>
    </w:p>
    <w:p>
      <w:r>
        <w:br w:type="page"/>
      </w:r>
    </w:p>
    <w:p>
      <w:pPr>
        <w:pStyle w:val="Heading2"/>
        <w:spacing w:after="100" w:before="200"/>
      </w:pPr>
      <w:r>
        <w:rPr>
          <w:rFonts w:ascii="Calibri" w:cs="Calibri" w:eastAsia="Calibri" w:hAnsi="Calibri"/>
          <w:b/>
          <w:bCs/>
          <w:color w:val="1F3864"/>
        </w:rPr>
        <w:t xml:space="preserve">4.0bis Paramètres détaillés de l'opération</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et documenter les seuils go/no-go (vent max, visibilité min, batteries min), et préciser quelles vérifications sont automatiques vs confirmées par le pilote dans votre configuration.</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Confirmer quelle position pilote réellement le confinement du DRONE, fixer les seuils chiffrés par donnée, et démontrer que le géorepérage repose sur une position de précision suffisante.</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chaque titulaire et suppléant, et faire signer une prise de connaissance des rôles avant l'opération.</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Obtenir chaque autorisation par écrit AVANT l'opération, et conserver les originaux avec le dossier.</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l'attestation d'assurance couvrant la date et le type d'opération.</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ET DÉMONTRER (E-09) ; VLOS ; procédure §9.3.2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Valider chaque P et G selon votre échelle, ajouter les dangers propres au site, et rédiger la justification ALARP du risque résiduel global.</w:t>
      </w:r>
    </w:p>
    <w:p>
      <w:r>
        <w:br w:type="page"/>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(13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créer +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démontrer (E-09)</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et Watchdog (60 → 30, watchdog de cycle).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(13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Compléter l'état de chaque ligne après les essais, et ajouter les références précises (n° de test, n° de fiche d'essai, section de procédure).</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Lancer jacocoSoccerReport, reporter ici les pourcentages réels, et joindre le rapport HTML en annexe.</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 politique de gestion des clés/API, canal d'installation autorisé de l'APK, empreinte de version, et conservation des journaux. Placer l'historique de l'incident de secret exposé (déjà révoqué et purgé de l'historique) dans une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(monter et/ou s'écarter, selon la position).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le failsafe DJI s'exécuter (RTH ou hover selon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‹responsable terrain / organisateur — à nommer›.</w:t>
      </w:r>
    </w:p>
    <w:p>
      <w:pPr>
        <w:pStyle w:val="ListParagraph"/>
        <w:numPr>
          <w:ilvl w:val="0"/>
          <w:numId w:val="1"/>
        </w:numPr>
        <w:spacing w:after="60" w:line="270"/>
      </w:pPr>
      <w:r>
        <w:rPr>
          <w:rFonts w:ascii="Calibri" w:cs="Calibri" w:eastAsia="Calibri" w:hAnsi="Calibri"/>
          <w:sz w:val="21"/>
          <w:szCs w:val="21"/>
        </w:rPr>
        <w:t xml:space="preserve">Autorité d'appeler les secours (911) : ‹personne désignée — à nommer›.</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les personnes responsables, adapter les corridors et zones au site réel, et faire un exercice d'intrusion documenté.</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télécharger sur le site TC au moment du dépôt, remplir et signer ‹en cours› — NE PAS présumer le numéro sans vérifier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Détenu par le pilote responsable ‹joindre copie›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si masse ≥ 250 g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requises dans ce scénario (≥ 30 m)</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Lettre de la ligue/club autorisant la captation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Autorisation du gestionnaire du terrain municipal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Extrait carte VFR + vérification NAV Drone / RPAS ‹à joindre›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16.0, ébauche non déposable (barrières logicielles clés désormais implémentées et testées)</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certifié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watchdog sur thread STRICTEMENT indépendant = amélioration future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chaque contrat après vérification code + mesures ; ces contrats deviennent la source unique des seuils (SafetyLimits, ci-dessous).</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Créer une classe SafetyLimits unique (constantes) et prouver qu'elle alimente pré-vol ET arbitre.</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Auditer le décodage NV21, la thread-safety du moteur natif, la gestion mémoire et le modèle réellement chargé (yolo11n) en configuration certifiée.</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honnête (reste ouvert) : </w:t>
      </w:r>
      <w:r>
        <w:rPr>
          <w:rFonts w:ascii="Calibri" w:cs="Calibri" w:eastAsia="Calibri" w:hAnsi="Calibri"/>
          <w:sz w:val="21"/>
          <w:szCs w:val="21"/>
        </w:rPr>
        <w:t xml:space="preserve">le battement et la vérification vivent dans la MÊME boucle. Un gel TOTAL du thread (qui empêcherait même la vérification de s'exécuter) n'émettra alors plus rien (pas de commande émise du tout, ce qui est sûr), mais un watchdog sur un thread STRICTEMENT INDÉPENDANT — capable de forcer un désarmement + sortie Virtual Stick même thread d'émission mort — reste une amélioration recommandée (NC-T2-005). Statut : watchdog de cycle implémenté ; watchdog inter-thread indépendant = amélioration future.</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Ajouter un watchdog sur thread STRICTEMENT indépendant (désarmement + sortie Virtual Stick si le thread d'émission meurt) et mesurer la tenue en fréquence sur la durée (gestion thermique Android — NC-T2-023).</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Étendre la liste REQ et la relier dans la matrice de traçabilité (danger → REQ → module → test → preuve).</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 tests + défaut inerte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de cycle FAIT+testé ; restent essais cessation + failsafe (E-08/E-09)</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§9.3.5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Décliner cette fiche pour chaque danger moyen/élevé du registre §6, et n'accepter aucun risque élevé avant démonstration des barrières.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Arrêt immédiat sur perte de cycle (watchdog de cycle) — FAIT (CommandeWatchdog) ; watchdog thread indépendant = amélioration future.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Prévoir 75 $ SOUS RÉSERVE que TC classe la demande « faible complexité ». Une chaîne logicielle capable d'émettre des commandes peut entraîner une classification supérieure — ne pas budgéter 75 $ comme certitude.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26-0835E,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(§6ter).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créditée comme exemption. La page officielle exige un SFOC pour TOUT drone (microdrones inclus) à un événement annoncé, sans seuil de 30 m présenté comme exemption générale. Dépend de la définition exacte de « voler à l'événement » et de la limite cartographiée du site. À confirmer par écrit par TC pour le scénario précis, avec définition cartographique du périmètre.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(v17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