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16.0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‹nom› — CineFlight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commit ‹hash› ; APK ‹version›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‹modèle/SN› ; téléphone ‹modèle/Android›</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Solide ; à relier aux preuves</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Faites ; couverture à joindre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Inventaire fait ; ALARP à finaliser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coordonnées, buffers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à calculer et démontrer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Campagne d'essais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détailler en étapes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rassembler et signer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35 %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non déposable</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délai physique À DÉMONTRER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comportement matériel À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confinement physique À CALCULER et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séparation À DÉMONTRER géométriquement (§4.3, §7-géom)</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 ; ALARP À FINALISER</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donc AUCUN objectif de confinement ou de protection comme acquis.</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le caractère ponctuel ou récurrent du SFOC. Si récurrent, chaque site/date doit avoir sa propre analyse (site, espace aérien, confinement).</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chaque titulaire et suppléant, et faire signer une prise de connaissance des rôles avant l'opération.</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Obtenir chaque autorisation par écrit AVANT l'opération, et conserver les originaux avec le dossier.</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l'attestation d'assurance couvrant la date et le type d'opération.</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‹responsable terrain / organisateur — à nommer›.</w:t>
      </w:r>
    </w:p>
    <w:p>
      <w:pPr>
        <w:pStyle w:val="ListParagraph"/>
        <w:numPr>
          <w:ilvl w:val="0"/>
          <w:numId w:val="1"/>
        </w:numPr>
        <w:spacing w:after="60" w:line="270"/>
      </w:pPr>
      <w:r>
        <w:rPr>
          <w:rFonts w:ascii="Calibri" w:cs="Calibri" w:eastAsia="Calibri" w:hAnsi="Calibri"/>
          <w:sz w:val="21"/>
          <w:szCs w:val="21"/>
        </w:rPr>
        <w:t xml:space="preserve">Autorité d'appeler les secours (911) : ‹personne désignée — à nommer›.</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télécharger sur le site TC au moment du dépôt, remplir et signer ‹en cours› — NE PAS présumer le numéro sans vérifier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Détenu par le pilote responsable ‹joindre copie›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si masse ≥ 250 g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requises dans ce scénario (≥ 30 m)</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Lettre de la ligue/club autorisant la captation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Autorisation du gestionnaire du terrain municipal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Extrait carte VFR + vérification NAV Drone / RPAS ‹à joindre›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16.0, ébauche non déposable (barrières logicielles clés désormais implémentées et testées)</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Créer une classe SafetyLimits unique (constantes) et prouver qu'elle alimente pré-vol ET arbitre.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 watchdog sur thread STRICTEMENT indépendant (désarmement + sortie Virtual Stick si le thread d'émission meurt) et mesurer la tenue en fréquence sur la durée (gestion thermique Android — NC-T2-023).</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Décliner cette fiche pour chaque danger moyen/élevé du registre §6, et n'accepter aucun risque élevé avant démonstration des barrières.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(v18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