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Système de captation vidéo autonome par aéronef télépiloté</w:t>
      </w:r>
    </w:p>
    <w:p>
      <w:pPr>
        <w:spacing w:after="40"/>
        <w:jc w:val="center"/>
      </w:pPr>
      <w:r>
        <w:rPr>
          <w:rFonts w:ascii="Calibri" w:cs="Calibri" w:eastAsia="Calibri" w:hAnsi="Calibri"/>
          <w:sz w:val="22"/>
          <w:szCs w:val="22"/>
        </w:rPr>
        <w:t xml:space="preserve">Version 2.0 (ébauche enrichie) — 2026-07-20</w:t>
      </w:r>
    </w:p>
    <w:p>
      <w:pPr>
        <w:spacing w:after="40"/>
        <w:jc w:val="center"/>
      </w:pPr>
      <w:r>
        <w:rPr>
          <w:rFonts w:ascii="Calibri" w:cs="Calibri" w:eastAsia="Calibri" w:hAnsi="Calibri"/>
          <w:sz w:val="20"/>
          <w:szCs w:val="20"/>
        </w:rPr>
        <w:t xml:space="preserve">Exploitant : [À COMPLÉTER] · Pilote responsable : [À COMPLÉTER]</w:t>
      </w:r>
    </w:p>
    <w:p>
      <w:pPr>
        <w:spacing w:after="40"/>
        <w:jc w:val="center"/>
      </w:pPr>
      <w:r>
        <w:rPr>
          <w:rFonts w:ascii="Calibri" w:cs="Calibri" w:eastAsia="Calibri" w:hAnsi="Calibri"/>
          <w:color w:val="2E4A7A"/>
          <w:sz w:val="20"/>
          <w:szCs w:val="20"/>
        </w:rPr>
        <w:t xml:space="preserve">Centre SATP (RPAS) — TC.RPASCentre-CentreSATP.TC@tc.gc.ca</w:t>
      </w:r>
    </w:p>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sz w:val="21"/>
          <w:szCs w:val="21"/>
        </w:rPr>
        <w:t xml:space="preserve">Ce dossier est une </w:t>
      </w:r>
      <w:r>
        <w:rPr>
          <w:rFonts w:ascii="Calibri" w:cs="Calibri" w:eastAsia="Calibri" w:hAnsi="Calibri"/>
          <w:b/>
          <w:bCs/>
          <w:sz w:val="21"/>
          <w:szCs w:val="21"/>
        </w:rPr>
        <w:t xml:space="preserve">ébauche structurée de type Safety Case</w:t>
      </w:r>
      <w:r>
        <w:rPr>
          <w:rFonts w:ascii="Calibri" w:cs="Calibri" w:eastAsia="Calibri" w:hAnsi="Calibri"/>
          <w:sz w:val="21"/>
          <w:szCs w:val="21"/>
        </w:rPr>
        <w:t xml:space="preserve">, à compléter par l'exploitant avant tout dépôt. Les champs </w:t>
      </w:r>
      <w:r>
        <w:rPr>
          <w:rFonts w:ascii="Calibri" w:cs="Calibri" w:eastAsia="Calibri" w:hAnsi="Calibri"/>
          <w:b/>
          <w:bCs/>
          <w:color w:val="C00000"/>
          <w:sz w:val="21"/>
          <w:szCs w:val="21"/>
        </w:rPr>
        <w:t xml:space="preserve">[À COMPLÉTER PAR L'EXPLOITANT]</w:t>
      </w:r>
      <w:r>
        <w:rPr>
          <w:rFonts w:ascii="Calibri" w:cs="Calibri" w:eastAsia="Calibri" w:hAnsi="Calibri"/>
          <w:sz w:val="21"/>
          <w:szCs w:val="21"/>
        </w:rPr>
        <w:t xml:space="preserve"> exigent des données propres à l'opération et à la campagne d'essais terrain. Aucune opération à moins de 30 m du périmètre d'un événement annoncé ne doit être menée avant l'obtention du SFOC-RPAS.</w:t>
      </w:r>
    </w:p>
    <w:p>
      <w:pPr>
        <w:spacing w:after="100" w:line="276"/>
      </w:pPr>
      <w:r>
        <w:rPr>
          <w:rFonts w:ascii="Calibri" w:cs="Calibri" w:eastAsia="Calibri" w:hAnsi="Calibri"/>
          <w:b/>
          <w:bCs/>
          <w:sz w:val="21"/>
          <w:szCs w:val="21"/>
        </w:rPr>
        <w:t xml:space="preserve">Distinction preuve / affirmation : </w:t>
      </w:r>
      <w:r>
        <w:rPr>
          <w:rFonts w:ascii="Calibri" w:cs="Calibri" w:eastAsia="Calibri" w:hAnsi="Calibri"/>
          <w:sz w:val="21"/>
          <w:szCs w:val="21"/>
        </w:rPr>
        <w:t xml:space="preserve">les résultats de tests logiciels présentés (§7) proviennent de l'exécution réelle de la suite de tests et des rapports JUnit horodatés. En revanche, les mesures de performance en vol (latence, temps de reprise, etc.) sont fournies sous forme de </w:t>
      </w:r>
      <w:r>
        <w:rPr>
          <w:rFonts w:ascii="Calibri" w:cs="Calibri" w:eastAsia="Calibri" w:hAnsi="Calibri"/>
          <w:b/>
          <w:bCs/>
          <w:sz w:val="21"/>
          <w:szCs w:val="21"/>
        </w:rPr>
        <w:t xml:space="preserve">gabarits à renseigner</w:t>
      </w:r>
      <w:r>
        <w:rPr>
          <w:rFonts w:ascii="Calibri" w:cs="Calibri" w:eastAsia="Calibri" w:hAnsi="Calibri"/>
          <w:sz w:val="21"/>
          <w:szCs w:val="21"/>
        </w:rPr>
        <w:t xml:space="preserve"> : elles doivent être mesurées sur l'aéronef réel — elles ne sont pas inventées.</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filme une partie de soccer à l'aide d'un aéronef télépiloté (RPA).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 et le pilote conserve la priorité absolue de reprise manuelle.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0 échec, 0 erreur, dont une preuve exhaustive de l'arbitre sur les 512 combinaisons de ses conditions de sécurité. Rapports JUnit horodatés au 2026-07-20.</w:t>
      </w:r>
    </w:p>
    <w:p>
      <w:pPr>
        <w:pStyle w:val="Heading2"/>
        <w:spacing w:after="100" w:before="200"/>
      </w:pPr>
      <w:r>
        <w:rPr>
          <w:rFonts w:ascii="Calibri" w:cs="Calibri" w:eastAsia="Calibri" w:hAnsi="Calibri"/>
          <w:b/>
          <w:bCs/>
          <w:color w:val="1F3864"/>
        </w:rPr>
        <w:t xml:space="preserve">0.1 Cadre réglementaire (synthèse)</w:t>
      </w:r>
    </w:p>
    <w:p>
      <w:pPr>
        <w:pStyle w:val="ListParagraph"/>
        <w:numPr>
          <w:ilvl w:val="0"/>
          <w:numId w:val="1"/>
        </w:numPr>
        <w:spacing w:after="60" w:line="270"/>
      </w:pPr>
      <w:r>
        <w:rPr>
          <w:rFonts w:ascii="Calibri" w:cs="Calibri" w:eastAsia="Calibri" w:hAnsi="Calibri"/>
          <w:b/>
          <w:bCs/>
          <w:sz w:val="21"/>
          <w:szCs w:val="21"/>
        </w:rPr>
        <w:t xml:space="preserve">SFOC événement annoncé requis </w:t>
      </w:r>
      <w:r>
        <w:rPr>
          <w:rFonts w:ascii="Calibri" w:cs="Calibri" w:eastAsia="Calibri" w:hAnsi="Calibri"/>
          <w:sz w:val="21"/>
          <w:szCs w:val="21"/>
        </w:rPr>
        <w:t xml:space="preserve">pour filmer à moins de 30 m (100 pi) du périmètre d'un événement extérieur annoncé — microdrones inclus depuis 2025-04-01.</w:t>
      </w:r>
    </w:p>
    <w:p>
      <w:pPr>
        <w:pStyle w:val="ListParagraph"/>
        <w:numPr>
          <w:ilvl w:val="0"/>
          <w:numId w:val="1"/>
        </w:numPr>
        <w:spacing w:after="60" w:line="270"/>
      </w:pPr>
      <w:r>
        <w:rPr>
          <w:rFonts w:ascii="Calibri" w:cs="Calibri" w:eastAsia="Calibri" w:hAnsi="Calibri"/>
          <w:b/>
          <w:bCs/>
          <w:sz w:val="21"/>
          <w:szCs w:val="21"/>
        </w:rPr>
        <w:t xml:space="preserve">Frais applicables </w:t>
      </w:r>
      <w:r>
        <w:rPr>
          <w:rFonts w:ascii="Calibri" w:cs="Calibri" w:eastAsia="Calibri" w:hAnsi="Calibri"/>
          <w:sz w:val="21"/>
          <w:szCs w:val="21"/>
        </w:rPr>
        <w:t xml:space="preserve">depuis 2025-11-04.</w:t>
      </w:r>
    </w:p>
    <w:p>
      <w:pPr>
        <w:pStyle w:val="ListParagraph"/>
        <w:numPr>
          <w:ilvl w:val="0"/>
          <w:numId w:val="1"/>
        </w:numPr>
        <w:spacing w:after="60" w:line="270"/>
      </w:pPr>
      <w:r>
        <w:rPr>
          <w:rFonts w:ascii="Calibri" w:cs="Calibri" w:eastAsia="Calibri" w:hAnsi="Calibri"/>
          <w:b/>
          <w:bCs/>
          <w:sz w:val="21"/>
          <w:szCs w:val="21"/>
        </w:rPr>
        <w:t xml:space="preserve">Drone ≥ 250 g : </w:t>
      </w:r>
      <w:r>
        <w:rPr>
          <w:rFonts w:ascii="Calibri" w:cs="Calibri" w:eastAsia="Calibri" w:hAnsi="Calibri"/>
          <w:sz w:val="21"/>
          <w:szCs w:val="21"/>
        </w:rPr>
        <w:t xml:space="preserve">pilote avancé, immatriculation, déclarations 922.05 « près des personnes » / 922.06 « au-dessus des personnes ».</w:t>
      </w:r>
    </w:p>
    <w:p>
      <w:pPr>
        <w:pStyle w:val="ListParagraph"/>
        <w:numPr>
          <w:ilvl w:val="0"/>
          <w:numId w:val="1"/>
        </w:numPr>
        <w:spacing w:after="60" w:line="270"/>
      </w:pPr>
      <w:r>
        <w:rPr>
          <w:rFonts w:ascii="Calibri" w:cs="Calibri" w:eastAsia="Calibri" w:hAnsi="Calibri"/>
          <w:b/>
          <w:bCs/>
          <w:sz w:val="21"/>
          <w:szCs w:val="21"/>
        </w:rPr>
        <w:t xml:space="preserve">Délai de service : </w:t>
      </w:r>
      <w:r>
        <w:rPr>
          <w:rFonts w:ascii="Calibri" w:cs="Calibri" w:eastAsia="Calibri" w:hAnsi="Calibri"/>
          <w:sz w:val="21"/>
          <w:szCs w:val="21"/>
        </w:rPr>
        <w:t xml:space="preserve">jusqu'à 30 jours ouvrables après une demande complète.</w:t>
      </w:r>
    </w:p>
    <w:p>
      <w:pPr>
        <w:pStyle w:val="Heading2"/>
        <w:spacing w:after="100" w:before="200"/>
      </w:pPr>
      <w:r>
        <w:rPr>
          <w:rFonts w:ascii="Calibri" w:cs="Calibri" w:eastAsia="Calibri" w:hAnsi="Calibri"/>
          <w:b/>
          <w:bCs/>
          <w:color w:val="1F3864"/>
        </w:rPr>
        <w:t xml:space="preserve">0.2 État d'avancement (auto-évaluation honnête)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Complétude</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Reste à faire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85 %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Documenté, diagrammes, GSN</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Mécanismes de sécurité</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75 %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Testés ; à démontrer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(tests)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Exécutés ; couverture à ajouter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dangers ; cotations à valider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d'essais terrain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Campagne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Mesures quantitatives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Gabarits fournis ; à mesurer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Données du site + administratif</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rassembler</w:t>
            </w:r>
          </w:p>
        </w:tc>
      </w:tr>
      <w:tr>
        <w:tc>
          <w:tcPr>
            <w:tcW w:type="dxa" w:w="52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GLOBAL</w:t>
            </w:r>
          </w:p>
        </w:tc>
        <w:tc>
          <w:tcPr>
            <w:tcW w:type="dxa" w:w="15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55 %</w:t>
            </w:r>
          </w:p>
        </w:tc>
        <w:tc>
          <w:tcPr>
            <w:tcW w:type="dxa" w:w="26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vs 40 % en v1</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sz w:val="21"/>
          <w:szCs w:val="21"/>
        </w:rPr>
        <w:t xml:space="preserve">G0 — </w:t>
      </w:r>
      <w:r>
        <w:rPr>
          <w:rFonts w:ascii="Calibri" w:cs="Calibri" w:eastAsia="Calibri" w:hAnsi="Calibri"/>
          <w:sz w:val="21"/>
          <w:szCs w:val="21"/>
        </w:rPr>
        <w:t xml:space="preserve">« L'opération de captation vidéo CineFlight Soccer présente un risque au sol et en vol aussi bas que raisonnablement praticable (ALARP), compatible avec les conditions d'un SFOC-RPAS pour événement annoncé. »</w:t>
      </w:r>
    </w:p>
    <w:p>
      <w:pPr>
        <w:pStyle w:val="Heading2"/>
        <w:spacing w:after="100" w:before="200"/>
      </w:pPr>
      <w:r>
        <w:rPr>
          <w:rFonts w:ascii="Calibri" w:cs="Calibri" w:eastAsia="Calibri" w:hAnsi="Calibri"/>
          <w:b/>
          <w:bCs/>
          <w:color w:val="1F3864"/>
        </w:rPr>
        <w:t xml:space="preserve">1.2 Décomposition en stratégies et preuves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4300"/>
        <w:gridCol w:w="43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4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 / sous-objectif</w:t>
            </w:r>
          </w:p>
        </w:tc>
        <w:tc>
          <w:tcPr>
            <w:tcW w:type="dxa" w:w="4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 (traçable)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 l'arbitre est le seul point d'émission (diagramme fig. 1)</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de sécurité non prouvée vraie bloque le mouvement (fail-closed)</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preuve exhaustive 512 combinaisons (§7.2)</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pilote peut reprendre la main instantanément, en toute circonstance</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testée sur toutes les combinaisons (§7.2) ; procédure §9</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 (aucune émission)</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Emission2DGuard ; test « défaut inerte » (§7)</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entrées dégradées (perte YOLO/vidéo, NaN, latence) ne produisent pas de mouvement dangereux</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neutralisation par âge ; §4.3</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reste dans un volume défini</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terrain + plafond 35 m + garde proximité 200 m (§2, §4.4)</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participantes sont protégées</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922.05/922.06 ; périmètre ; observateurs ; registre §6</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identifiés sont atténués à un niveau acceptable</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de ~50 dangers §6 ; plan d'essais §8</w:t>
            </w:r>
          </w:p>
        </w:tc>
      </w:tr>
    </w:tbl>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 Le signe des commandes (throttle/roll/pitch/yaw) a été validé par essai statique au sol avant tout vol (§8).</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le pilote a la priorité absolue.</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r>
        <w:br w:type="page"/>
      </w:r>
    </w:p>
    <w:p>
      <w:pPr>
        <w:pStyle w:val="Heading1"/>
        <w:spacing w:after="140" w:before="280"/>
      </w:pPr>
      <w:r>
        <w:rPr>
          <w:rFonts w:ascii="Calibri" w:cs="Calibri" w:eastAsia="Calibri" w:hAnsi="Calibri"/>
          <w:b/>
          <w:bCs/>
          <w:color w:val="1F3864"/>
        </w:rPr>
        <w:t xml:space="preserve">4. Concept d'opérations (CONOPS)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 : privé / entraînement / amateur / annoncé au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joueurs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 : à côté / au-dessus du terrain]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non-participants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 : ≥30 m / 5–30 m (922.05) / &lt;5 m (922.06)]</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 — plafond logiciel 35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observateurs)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bl>
    <w:p>
      <w:pPr>
        <w:spacing w:after="100" w:line="276"/>
      </w:pPr>
      <w:r>
        <w:rPr>
          <w:rFonts w:ascii="Calibri" w:cs="Calibri" w:eastAsia="Calibri" w:hAnsi="Calibri"/>
          <w:sz w:val="21"/>
          <w:szCs w:val="21"/>
        </w:rPr>
        <w:t xml:space="preserve">Volume de vol : borné par le polygone du terrain (géorepérage TerrainGeofence, point-dans-polygone) ; garde de proximité opérateur (≤ 200 m).</w:t>
      </w:r>
    </w:p>
    <w:p>
      <w:pPr>
        <w:spacing w:after="100" w:line="276"/>
      </w:pPr>
      <w:r>
        <w:rPr>
          <w:rFonts w:ascii="Calibri" w:cs="Calibri" w:eastAsia="Calibri" w:hAnsi="Calibri"/>
          <w:b/>
          <w:bCs/>
          <w:color w:val="C00000"/>
          <w:sz w:val="21"/>
          <w:szCs w:val="21"/>
        </w:rPr>
        <w:t xml:space="preserve">[À COMPLÉTER PAR L'EXPLOITANT] </w:t>
      </w:r>
      <w:r>
        <w:rPr>
          <w:rFonts w:ascii="Calibri" w:cs="Calibri" w:eastAsia="Calibri" w:hAnsi="Calibri"/>
          <w:i/>
          <w:iCs/>
          <w:color w:val="595959"/>
          <w:sz w:val="21"/>
          <w:szCs w:val="21"/>
        </w:rPr>
        <w:t xml:space="preserve">Joindre : plan à l'échelle, polygone, positions pilote/observateurs, zones décollage/atterrissage + zone d'urgence, carte d'espace aérien, NOTAM.</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proposé (à valider TC)</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consentants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 ne pas présumer</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participants — 922.05/06</w:t>
            </w:r>
          </w:p>
        </w:tc>
      </w:tr>
    </w:tbl>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 — ex.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 — g]</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 Les cotations sont proposées et à valider par l'exploitant, qui justifiera l'acceptabilité du risque résiduel (ALARP).</w:t>
      </w:r>
    </w:p>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GPS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exigé (FIX/FLOAT) sinon blocage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en FLOAT (précision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exige position fraîche fiable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FIX RTK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 hover/RTH DJI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(RTH/hover) ; VLOS ; procédure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arrêt ; distances 922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isolé + essai statique au sol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[À COMPLÉTER PAR L'EXPLOITANT]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[À COMPLÉTER PAR L'EXPLOITANT] </w:t>
      </w:r>
      <w:r>
        <w:rPr>
          <w:rFonts w:ascii="Calibri" w:cs="Calibri" w:eastAsia="Calibri" w:hAnsi="Calibri"/>
          <w:i/>
          <w:iCs/>
          <w:color w:val="595959"/>
          <w:sz w:val="21"/>
          <w:szCs w:val="21"/>
        </w:rPr>
        <w:t xml:space="preserve">Joindre en annexe : rapport HTML JUnit (capture), rapport de couverture (JaCoCo à activer),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ms]</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ms]</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ms]</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95e percentile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ms]</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Hz]</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ms]</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ms]</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km/h</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km/h]</w:t>
            </w:r>
          </w:p>
        </w:tc>
      </w:tr>
    </w:tbl>
    <w:p>
      <w:pPr>
        <w:spacing w:after="100" w:line="276"/>
      </w:pPr>
      <w:r>
        <w:rPr>
          <w:rFonts w:ascii="Calibri" w:cs="Calibri" w:eastAsia="Calibri" w:hAnsi="Calibri"/>
          <w:b/>
          <w:bCs/>
          <w:color w:val="C00000"/>
          <w:sz w:val="21"/>
          <w:szCs w:val="21"/>
        </w:rPr>
        <w:t xml:space="preserve">[À COMPLÉTER PAR L'EXPLOITANT]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w:t>
      </w:r>
    </w:p>
    <w:p>
      <w:pPr>
        <w:pStyle w:val="ListParagraph"/>
        <w:numPr>
          <w:ilvl w:val="0"/>
          <w:numId w:val="1"/>
        </w:numPr>
        <w:spacing w:after="60" w:line="270"/>
      </w:pPr>
      <w:r>
        <w:rPr>
          <w:rFonts w:ascii="Calibri" w:cs="Calibri" w:eastAsia="Calibri" w:hAnsi="Calibri"/>
          <w:sz w:val="21"/>
          <w:szCs w:val="21"/>
        </w:rPr>
        <w:t xml:space="preserve">Intrusion périmètre : arrêt, éloignement, interruption.</w:t>
      </w:r>
    </w:p>
    <w:p>
      <w:pPr>
        <w:pStyle w:val="ListParagraph"/>
        <w:numPr>
          <w:ilvl w:val="0"/>
          <w:numId w:val="1"/>
        </w:numPr>
        <w:spacing w:after="60" w:line="270"/>
      </w:pPr>
      <w:r>
        <w:rPr>
          <w:rFonts w:ascii="Calibri" w:cs="Calibri" w:eastAsia="Calibri" w:hAnsi="Calibri"/>
          <w:sz w:val="21"/>
          <w:szCs w:val="21"/>
        </w:rPr>
        <w:t xml:space="preserve">Perte de liaison : failsafe DJI (RTH/hover) + procédure.</w:t>
      </w:r>
    </w:p>
    <w:p>
      <w:pPr>
        <w:pStyle w:val="ListParagraph"/>
        <w:numPr>
          <w:ilvl w:val="0"/>
          <w:numId w:val="1"/>
        </w:numPr>
        <w:spacing w:after="60" w:line="270"/>
      </w:pPr>
      <w:r>
        <w:rPr>
          <w:rFonts w:ascii="Calibri" w:cs="Calibri" w:eastAsia="Calibri" w:hAnsi="Calibri"/>
          <w:sz w:val="21"/>
          <w:szCs w:val="21"/>
        </w:rPr>
        <w:t xml:space="preserve">Comportement anormal : reprise manuelle, désarmement, atterrissage.</w:t>
      </w:r>
    </w:p>
    <w:p>
      <w:pPr>
        <w:pStyle w:val="ListParagraph"/>
        <w:numPr>
          <w:ilvl w:val="0"/>
          <w:numId w:val="1"/>
        </w:numPr>
        <w:spacing w:after="60" w:line="270"/>
      </w:pPr>
      <w:r>
        <w:rPr>
          <w:rFonts w:ascii="Calibri" w:cs="Calibri" w:eastAsia="Calibri" w:hAnsi="Calibri"/>
          <w:sz w:val="21"/>
          <w:szCs w:val="21"/>
        </w:rPr>
        <w:t xml:space="preserve">Météo hors limites : interruption et atterrissage.</w:t>
      </w:r>
    </w:p>
    <w:p>
      <w:pPr>
        <w:pStyle w:val="ListParagraph"/>
        <w:numPr>
          <w:ilvl w:val="0"/>
          <w:numId w:val="1"/>
        </w:numPr>
        <w:spacing w:after="60" w:line="270"/>
      </w:pPr>
      <w:r>
        <w:rPr>
          <w:rFonts w:ascii="Calibri" w:cs="Calibri" w:eastAsia="Calibri" w:hAnsi="Calibri"/>
          <w:sz w:val="21"/>
          <w:szCs w:val="21"/>
        </w:rPr>
        <w:t xml:space="preserve">Interruption du match / suspension de l'opération.</w:t>
      </w:r>
    </w:p>
    <w:p>
      <w:pPr>
        <w:pStyle w:val="ListParagraph"/>
        <w:numPr>
          <w:ilvl w:val="0"/>
          <w:numId w:val="1"/>
        </w:numPr>
        <w:spacing w:after="60" w:line="270"/>
      </w:pPr>
      <w:r>
        <w:rPr>
          <w:rFonts w:ascii="Calibri" w:cs="Calibri" w:eastAsia="Calibri" w:hAnsi="Calibri"/>
          <w:sz w:val="21"/>
          <w:szCs w:val="21"/>
        </w:rPr>
        <w:t xml:space="preserve">Après incident : sécuriser, consigner, conserver journaux, aviser autorités si requis.</w:t>
      </w:r>
    </w:p>
    <w:p>
      <w:pPr>
        <w:spacing w:after="100" w:line="276"/>
      </w:pPr>
      <w:r>
        <w:rPr>
          <w:rFonts w:ascii="Calibri" w:cs="Calibri" w:eastAsia="Calibri" w:hAnsi="Calibri"/>
          <w:b/>
          <w:bCs/>
          <w:color w:val="C00000"/>
          <w:sz w:val="21"/>
          <w:szCs w:val="21"/>
        </w:rPr>
        <w:t xml:space="preserve">[À COMPLÉTER PAR L'EXPLOITANT] </w:t>
      </w:r>
      <w:r>
        <w:rPr>
          <w:rFonts w:ascii="Calibri" w:cs="Calibri" w:eastAsia="Calibri" w:hAnsi="Calibri"/>
          <w:i/>
          <w:iCs/>
          <w:color w:val="595959"/>
          <w:sz w:val="21"/>
          <w:szCs w:val="21"/>
        </w:rPr>
        <w:t xml:space="preserve">Détailler chaque urgence en étapes numérotées ; désigner qui appelle les secours ; décrire la gestion du public.</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(TC 24-0109)</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(ébauche v2)</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TC.RPASCentre-CentreSATP.TC@tc.gc.ca — délai jusqu'à 30 jours ouvrables après demande complète.</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 requis &lt;30 m ; microdrones depuis 2025-04-01 ; frais depuis 2025-11-04 ; 922.05/922.06 ; délai 30 jours ouvrables.</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(ébauche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2026-07-20T08:05:55.326Z</dcterms:created>
  <dcterms:modified xsi:type="dcterms:W3CDTF">2026-07-20T08:05:55.327Z</dcterms:modified>
</cp:coreProperties>
</file>

<file path=docProps/custom.xml><?xml version="1.0" encoding="utf-8"?>
<Properties xmlns="http://schemas.openxmlformats.org/officeDocument/2006/custom-properties" xmlns:vt="http://schemas.openxmlformats.org/officeDocument/2006/docPropsVTypes"/>
</file>