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4 dangers ÉLEVÉS rédigées (§6ter : HAZ-44, 19, 39, 40) avec crédit honnête (logique au sol) ; RESTE : clôture après démonstrations en vol + exercice intrusion</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renseigné (parc La Fontaine, coord. de vol, rail 2 m/s) ; RESTE : plan à l'échelle + autorisation NAV Canada (espace contrôlé) + héliports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CALCULÉ (§4.2bis, ≈29 m à 4 m/s ; sensibilité à vMax) ; à VERROUILLER après mesures en vol (freinage, reprise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RESTE : nommer responsables + exercice documenté</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(v23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