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4 dangers ÉLEVÉS rédigées (§6ter : HAZ-44, 19, 39, 40) avec crédit honnête (logique au sol) ; RESTE : clôture après démonstrations en vol + exercice intrusion</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CALCULÉ (§4.2bis, ≈29 m à 4 m/s ; sensibilité à vMax) ; à VERROUILLER après mesures en vol (freinage, reprise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RESTE : nommer responsables + exercice documenté</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RESTE À OBTENIR : certificat pilote avancé, immatriculation, autorisation NAV Canada, permissions organisateur/arrondissement</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16.0, ébauche non déposable (barrières logicielles clés désormais implémentées et testées)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(v24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