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16.0 — Événement annoncé (snapshot atomique + watchdog implémentés)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‹nom› — CineFlight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commit ‹hash› ; APK ‹version›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‹modèle/SN› ; téléphone ‹modèle/Android›</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sans exemption générale de 30 m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SÉCURITÉ AU SOL E-06/E-07/E-08/E-09 (hélices retirées) : E-08 (arrêt d'urgence) et E-09 (perte liaison RC) coupent bien l'émission — VALIDÉS. E-06/E-07 (perte YOLO/vidéo) : DÉFAUT TROUVÉ — un flux vidéo GELÉ laissait actionFiable=true &gt;57 s (le système se croyait voyant). CORRIGÉ par une garde d'âge YOLO (actionFiable=false si dernière détection &gt;600 ms → bit AC=0 → throttle bloqué), revalidé au sol (coupure en ~0,6 s). AJOUT permanent : détection perte RC → arrêt d'urgence (en plus du failsafe DJI). MAJ FMEA #19, matrice barrières E-06/E-07/E-09, GSN G4.</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 tableau d'avancement pour dépôt (§ synthèse) suite aux essais au sol : ALARP 45→50 %, Preuves matérielles 10→20 % (essais SOL faits, EN VOL à mener), Procédures d'urgence 40→50 %, ÉTAT RÉEL POUR DÉPÔT 35→40 %. CONOPS, confinement et pièces administratives inchangés. Distinction sol/vol maintenue (dépôt exige le 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 calcul chiffré du buffer de contingence ajouté (§4.2bis) à partir des paramètres du code (vMax 4 m/s, âge cmd 0,6 s, RTK 2 s) : buffer ≈ 28,7 m à 4 m/s ; tableau de sensibilité à vMax ; recommandation de plafonner vMax à 1,5–2 m/s. Deux composantes (freinage, reprise E-12) restent PROVISOIRES à mesurer en vol. Confinement 20→60 %, état dépôt 40→45 %.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 site RÉEL renseigné (§4.0ter/4.0quater) : terrain de soccer du parc La Fontaine, 3819 av. Calixa-Lavallée, Montréal ; point de vol 45,50189/-73,56739 ; rail 2 m/s ; contact pilote. POINT CRITIQUE documenté : espace aérien CONTRÔLÉ (YUL/CYHU, héliports) → autorisation NAV Canada OBLIGATOIRE avant chaque vol, à confirmer via NAV Drone et à joindre. CONOPS 20→45 %, état dépôt 45→50 %.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 ajout de 5 procédures numérotées (§9.3.6 arrêt d'urgence, §9.3.7 perte vidéo/YOLO, §9.3.8 batterie faible, §9.3.9 perte GPS/RTK, §9.3.10 perte VLOS), cohérentes avec les barrières validées (E-06/E-07, E-08, E-09) et les seuils du code (600 ms, 2 s, 40 %). Contact pilote renseigné (§9.3.5). Procédures d'urgence 50→85 %, état dépôt 50→52 %. Reste : nommer responsables + exercice d'intrusion documenté.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 fiches formelles des 4 dangers ÉLEVÉS ajoutées (§6ter : HAZ-44 signe, HAZ-19 perte RC, HAZ-39 intrusion spectateur, HAZ-40 enfant/animal). Crédit appliqué selon règle S.5 : essais au sol = crédit LOGIQUE seulement (pas de réduction définitive à faible avant le vol). Synthèse : clôture ALARP conditionnée aux démonstrations en vol + exercice intrusion + confinement verrouillé. ALARP 50→70 %, état dépôt 52→55 %.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 PIÈCES ADMIN. Plan de confinement à l'échelle ajouté (§4.2ter : terrain, buffer 15 m, volume opérationnel, pilote/observateur, zones). Check-list administrative remplie avec statuts réels (drone DJI Mini 4 Pro &lt;250 g, site parc La Fontaine, contact pilote) ; jalons À OBTENIR identifiés (certificat pilote avancé, immatriculation, autorisation NAV Canada bloquante, permissions). CONOPS 45→70 %, pièces admin 10→40 %, état dépôt 55→60 %.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LIVRABLES PRÉPARÉS : fiche d'exercice d'intrusion (HAZ-39/40) + 2 lettres de permission pré-remplies (organisateur, arrondissement Plateau-Mont-Royal), documents séparés au nom de CineFlight. Outils prêts mais NON encore exécutés (exercice à faire, lettres à envoyer/signer). Procédures 85→88 %, pièces admin 40→50 %, état dépôt 60→62 %.</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Solide ; à relier aux preuves</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Faites ; couverture à joindre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4 dangers ÉLEVÉS rédigées (§6ter : HAZ-44, 19, 39, 40) avec crédit honnête (logique au sol) ; RESTE : clôture après démonstrations en vol + exercice intrusion</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(§4.2ter : zones, buffer, pilote/observateur) ; RESTE : autorisation NAV Canada (espace contrôlé)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CALCULÉ (§4.2bis, ≈29 m à 4 m/s ; sensibilité à vMax) ; à VERROUILLER après mesures en vol (freinage, reprise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88 %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 procédures numérotées (§9.3.1-9.3.10 : intrusion, perte RC, anomalie logiciel, météo, arrêt d'urgence, perte vidéo, batterie, perte GPS, perte VLOS) ; Fiche d'exercice d'intrusion PRÉPARÉE (protocole + tableau + verdict) ; RESTE : réaliser l'exercice + nommer responsables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À OBTENIR : certificat pilote avancé, immatriculation, autorisation NAV Canada, retours de permissions signés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62 %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délai physique À DÉMONTRER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comportement matériel À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confinement physique À CALCULER et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séparation À DÉMONTRER géométriquement (§4.3, §7-géom)</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 ; ALARP À FINALISER</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donc AUCUN objectif de confinement ou de protection comme acquis.</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Préciser la fréquence de la boucle de contrôle et le seuil d'âge maximal retenus (valeurs à confirmer par mesure), et ajouter, si implémenté, un watchdog/heartbeat matériel ou logiciel explicite.</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la politique de gestion des clés/API, la source d'installation autorisée de l'application, et la durée/lieu de conservation des journaux.</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Vérifier dans le code que le SafetySnapshot alimenté en mode 2D correspond exactement au chemin réellement emprunté (Emission2DGuard → arbitre), et renommer/clarifier les champs « rail » en 2D pour lever toute ambiguïté. Confirmer que la preuve 512 couvre bien le chemin 2D demandé.</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Ponctuel (un seul événement) — ‹ou récurrent : préciser la liste des dates/sites›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(ponctuel). Si récurrent : joindre le calendrier et l'analyse par site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le caractère ponctuel ou récurrent du SFOC. Si récurrent, chaque site/date doit avoir sa propre analyse (site, espace aérien, confinement).</w:t>
      </w:r>
    </w:p>
    <w:p>
      <w:r>
        <w:br w:type="page"/>
      </w:r>
    </w:p>
    <w:p>
      <w:pPr>
        <w:pStyle w:val="Heading2"/>
        <w:spacing w:after="100" w:before="200"/>
      </w:pPr>
      <w:r>
        <w:rPr>
          <w:rFonts w:ascii="Calibri" w:cs="Calibri" w:eastAsia="Calibri" w:hAnsi="Calibri"/>
          <w:b/>
          <w:bCs/>
          <w:color w:val="1F3864"/>
        </w:rPr>
        <w:t xml:space="preserve">4.0bis Paramètres détaillés de l'opération</w:t>
      </w:r>
    </w:p>
    <w:p>
      <w:pPr>
        <w:pStyle w:val="Heading2"/>
        <w:spacing w:after="100" w:before="200"/>
      </w:pPr>
      <w:r>
        <w:rPr>
          <w:rFonts w:ascii="Calibri" w:cs="Calibri" w:eastAsia="Calibri" w:hAnsi="Calibri"/>
          <w:b/>
          <w:bCs/>
          <w:color w:val="1F3864"/>
        </w:rPr>
        <w:t xml:space="preserve">4.0ter Site réel de l'opération (renseigné 2026-07-20)</w:t>
      </w:r>
    </w:p>
    <w:p>
      <w:pPr>
        <w:spacing w:after="100" w:line="276"/>
      </w:pPr>
      <w:r>
        <w:rPr>
          <w:rFonts w:ascii="Calibri" w:cs="Calibri" w:eastAsia="Calibri" w:hAnsi="Calibri"/>
          <w:sz w:val="21"/>
          <w:szCs w:val="21"/>
        </w:rPr>
        <w:t xml:space="preserve">Site retenu (données réelles, remplacent les [EXEMPLE] du §4.0 et §4.0bis)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Rail de vol configuré : orientation gauche→droite le long du terrain ; altitude 25 m (profil enregistré 48 m) ; vitesse max 2,0 m/s ; position sûre 0,5.</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4.0quater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situé en ESPACE AÉRIEN CONTRÔLÉ (proximité de l'aéroport Montréal–Trudeau / CYUL et de l'aéroport métropolitain / CYHU, densité urbaine, héliports hospitaliers dont le CHUM). En espace contrôlé, une AUTORISATION NAV CANADA (application NAV Drone / RPAS) est OBLIGATOIRE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Vérifier la distance aux héliports hospitaliers proches (CHUM notamment) et respecter les minimums (≥ 1,9 km d'un héliport, sauf autorisation).</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l'autorisation NAV Canada n'est pas obtenue et jointe, l'opération N'EST PAS déposable ni exécutable, quel que soit l'état des autres barrières.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4.2bis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pire cas de dépassement avant arrêt. Il se calcule comme la somme des distances parcourues durant chaque latence, plus le freinage et une marge. Les paramètres proviennent du code réel (Phase3Activity.kt) ; deux composantes restent PROVISOIRES tant qu'elles ne sont pas mesurées en vol.</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avant HOVER = 2,0 s (RTK_AGE_MAX_S).</w:t>
      </w:r>
    </w:p>
    <w:p>
      <w:pPr>
        <w:spacing w:after="100" w:line="276"/>
      </w:pPr>
      <w:r>
        <w:rPr>
          <w:rFonts w:ascii="Calibri" w:cs="Calibri" w:eastAsia="Calibri" w:hAnsi="Calibri"/>
          <w:sz w:val="21"/>
          <w:szCs w:val="21"/>
        </w:rPr>
        <w:t xml:space="preserve">Chaîne de distance (pire cas horizontal,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de sécurité additionnelle (dérive GNSS, vent, incertitude) = 5,00 m</w:t>
      </w:r>
    </w:p>
    <w:p>
      <w:pPr>
        <w:spacing w:after="100" w:line="276"/>
      </w:pPr>
      <w:r>
        <w:rPr>
          <w:rFonts w:ascii="Calibri" w:cs="Calibri" w:eastAsia="Calibri" w:hAnsi="Calibri"/>
          <w:b/>
          <w:bCs/>
          <w:sz w:val="21"/>
          <w:szCs w:val="21"/>
        </w:rPr>
        <w:t xml:space="preserve">BUFFER TOTAL (somme, pire cas) ≈ 28,7 m à 4 m/s. Conséquence : pour garantir ≥ 30 m réels au non-impliqué le plus proche au pire cas, la distance nominale de vol devrait être ≥ ~59 m — irréaliste sur un terrain. Le facteur DOMINANT est la vitesse (le freinage varie en v²).</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RECOMMANDATION DE CONCEPTION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majorants conservateurs, non des valeurs démontrées.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4.2ter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calculé au §4.2bis (~15 m à vMax 2 m/s).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(15 m)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Les distances de buffer seront VERROUILLÉES après mesure du freinage réel et du délai de reprise en vol (§4.2bis).</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et documenter les seuils go/no-go (vent max, visibilité min, batteries min), et préciser quelles vérifications sont automatiques vs confirmées par le pilote dans votre configuration.</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 quelle position pilote réellement le confinement du DRONE, fixer les seuils chiffrés par donnée, et démontrer que le géorepérage repose sur une position de précision suffisante.</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chaque titulaire et suppléant, et faire signer une prise de connaissance des rôles avant l'opération.</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Obtenir chaque autorisation par écrit AVANT l'opération, et conserver les originaux avec le dossier.</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l'attestation d'assurance couvrant la date et le type d'opération.</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2"/>
        <w:spacing w:after="100" w:before="200"/>
      </w:pPr>
      <w:r>
        <w:rPr>
          <w:rFonts w:ascii="Calibri" w:cs="Calibri" w:eastAsia="Calibri" w:hAnsi="Calibri"/>
          <w:b/>
          <w:bCs/>
          <w:color w:val="1F3864"/>
        </w:rPr>
        <w:t xml:space="preserve">6ter.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(§9.3.6).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§4.2bis (buffer). État : buffer CALCULÉ (~15 m à 2 m/s)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(pire cas).</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(13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créer +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démontrer (E-09)</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Compléter l'état de chaque ligne après les essais, et ajouter les références précises (n° de test, n° de fiche d'essai, section de procédure).</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Lancer jacocoSoccerReport, reporter ici les pourcentages réels, et joindre le rapport HTML en annexe.</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 politique de gestion des clés/API, canal d'installation autorisé de l'APK, empreinte de version, et conservation des journaux. Placer l'historique de l'incident de secret exposé (déjà révoqué et purgé de l'historique) dans une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9.3.6 Arrêt d'urgence général (geste unique)</w:t>
      </w:r>
    </w:p>
    <w:p>
      <w:pPr>
        <w:spacing w:after="80" w:line="276"/>
      </w:pPr>
      <w:r>
        <w:rPr>
          <w:rFonts w:ascii="Calibri" w:cs="Calibri" w:eastAsia="Calibri" w:hAnsi="Calibri"/>
          <w:sz w:val="21"/>
          <w:szCs w:val="21"/>
        </w:rPr>
        <w:t xml:space="preserve">Barrière validée au sol le 2026-07-20 (essai E-08) : coupe l'émission automatique et rend la main au pilote.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Virtual Stick coupé).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9.3.7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stable (hover) et non commandé.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9.3.8 Batterie faible</w:t>
      </w:r>
    </w:p>
    <w:p>
      <w:pPr>
        <w:spacing w:after="80" w:line="276"/>
      </w:pPr>
      <w:r>
        <w:rPr>
          <w:rFonts w:ascii="Calibri" w:cs="Calibri" w:eastAsia="Calibri" w:hAnsi="Calibri"/>
          <w:sz w:val="21"/>
          <w:szCs w:val="21"/>
        </w:rPr>
        <w:t xml:space="preserve">Danger #16 du registre : seuil surveillé par l'arbitre (batterie mini opérationnelle 40 %) + failsafe DJI.</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9.3.9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le système passe en HOVER automatique.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drone passe de lui-même en HOVER dès que la position se périme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9.3.10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arrête le mouvement (hover), remonte si besoin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(§9.3.6)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‹responsable terrain / organisateur — à nommer›.</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les personnes responsables, adapter les corridors et zones au site réel, et faire un exercice d'intrusion documenté.</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sur le site Transport Canada (vérifier le numéro de formulaire courant au moment du dépôt), remplir et signer — À FAIRE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OPÉRATIONS AVANCÉES requis (événement annoncé) — À OBTENIR / à joindre copie. Contact pilote : +1 438 367 6652</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(&lt; 250 g). Immatriculation TC tout de même requise pour opérations avancées / événement annoncé — À OBTENIR /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922.05/922.06 : à vérifier selon le scénario final ; l'objectif ≥ 30 m réels dépend du buffer verrouillé (§4.2bis) — À CONFIRMER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CONTRÔLÉ confirmé (secteur YUL/CYHU, héliports) : AUTORISATION NAV CANADA (NAV Drone/RPAS) OBLIGATOIRE + extrait carte — À OBTENIR et joindre (bloquant)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16.0, ébauche non déposable (barrières logicielles clés désormais implémentées et testées)</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watchdog sur thread STRICTEMENT indépendant = amélioration future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chaque contrat après vérification code + mesures ; ces contrats deviennent la source unique des seuils (SafetyLimits, ci-dessous).</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Créer une classe SafetyLimits unique (constantes) et prouver qu'elle alimente pré-vol ET arbitre.</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Auditer le décodage NV21, la thread-safety du moteur natif, la gestion mémoire et le modèle réellement chargé (yolo11n) en configuration certifiée.</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honnête (reste ouvert) : </w:t>
      </w:r>
      <w:r>
        <w:rPr>
          <w:rFonts w:ascii="Calibri" w:cs="Calibri" w:eastAsia="Calibri" w:hAnsi="Calibri"/>
          <w:sz w:val="21"/>
          <w:szCs w:val="21"/>
        </w:rPr>
        <w:t xml:space="preserve">le battement et la vérification vivent dans la MÊME boucle. Un gel TOTAL du thread (qui empêcherait même la vérification de s'exécuter) n'émettra alors plus rien (pas de commande émise du tout, ce qui est sûr), mais un watchdog sur un thread STRICTEMENT INDÉPENDANT — capable de forcer un désarmement + sortie Virtual Stick même thread d'émission mort — reste une amélioration recommandée (NC-T2-005). Statut : watchdog de cycle implémenté ; watchdog inter-thread indépendant = amélioration future.</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Ajouter un watchdog sur thread STRICTEMENT indépendant (désarmement + sortie Virtual Stick si le thread d'émission meurt) et mesurer la tenue en fréquence sur la durée (gestion thermique Android — NC-T2-023).</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Étendre la liste REQ et la relier dans la matrice de traçabilité (danger → REQ → module → test → preuve).</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Décliner cette fiche pour chaque danger moyen/élevé du registre §6, et n'accepter aucun risque élevé avant démonstration des barrières.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Arrêt immédiat sur perte de cycle (watchdog de cycle) — FAIT (CommandeWatchdog) ; watchdog thread indépendant = amélioration future.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Prévoir 75 $ SOUS RÉSERVE que TC classe la demande « faible complexité ». Une chaîne logicielle capable d'émettre des commandes peut entraîner une classification supérieure — ne pas budgéter 75 $ comme certitude.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(§6ter).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créditée comme exemption. La page officielle exige un SFOC pour TOUT drone (microdrones inclus) à un événement annoncé, sans seuil de 30 m présenté comme exemption générale. Dépend de la définition exacte de « voler à l'événement » et de la limite cartographiée du site. À confirmer par écrit par TC pour le scénario précis, avec définition cartographique du périmètre.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(v25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