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29.0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debug signé — empreinte de release à consigner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(§4.2quater)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(§4.2quinquies)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+ 620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620 cas de test automatisés décrits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ROBUSTE à 2 m/s ≈16 m (§4.2quater, majorant défendable ancré sur specs Mini 4 Pro, freinage pire cas) + plan à l'échelle (§4.2ter) ; + analyse géométrique du site (§4.2quinquies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4.2quater Buffer ROBUSTE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démontrée : une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 MAJORANT justifié (pas une hypothèse fragile), car elle utilise la décélération la plus défavorable possible. Voler à 16 m d'un non-impliqué, dans un volume opérationnel en retrait d'un côté du terrain, est réaliste sur un terrain de soccer avec ses abords.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4.2quinquies Analyse géométrique du site vs buffer (2026-07-20)</w:t>
      </w:r>
    </w:p>
    <w:p>
      <w:pPr>
        <w:spacing w:after="80" w:line="272"/>
      </w:pPr>
      <w:r>
        <w:rPr>
          <w:rFonts w:ascii="Calibri" w:cs="Calibri" w:eastAsia="Calibri" w:hAnsi="Calibri"/>
          <w:sz w:val="21"/>
          <w:szCs w:val="21"/>
        </w:rPr>
        <w:t xml:space="preserve">Cette analyse relie le buffer de confinement (16,2 m, §4.2quater)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§4.2ter).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(§4.2quater).</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620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27.0,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(v29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