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34.0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PARTIELLEMENT RENSEIGNÉ (2026-07-20) : la couverture est instrumentée (JaCoCo configuré dans app/build.gradle, tâche jacocoSoccerReport). 620 cas de test automatisés couvrent les composants de sécurité (voir annexe « Couverture des tests logiciels » : Emission2DGuard 25, FlightCommandArbiter 23, watchdog 13, etc.). RESTE À FAIRE : exécuter jacocoSoccerReport et reporter ici les pourcentages de couverture chiffrés + joindre le rapport HTML.</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À FAIRE (développement) : regrouper les seuils de sécurité (YOLO_FRAIS_MS=600, RTK_AGE_MAX_S=2, batterie 40 %, vMax, plafond 35 m, watchdog 500 ms) dans une classe SafetyLimits unique de constantes, et prouver par test qu'elle alimente à la fois la porte pré-vol et les points d'émission. Actuellement ces seuils existent et sont testés, mais sont déclarés par module (non centralisés). Amélioration recommandée, non bloquante.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(v34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