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37.0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PARTIELLEMENT RENSEIGNÉ (2026-07-20) : la couverture est instrumentée (JaCoCo configuré dans app/build.gradle, tâche jacocoSoccerReport). 620 cas de test automatisés couvrent les composants de sécurité (voir annexe « Couverture des tests logiciels » : Emission2DGuard 25, FlightCommandArbiter 23, watchdog 13, etc.). RESTE À FAIRE : exécuter jacocoSoccerReport et reporter ici les pourcentages de couverture chiffrés + joindre le rapport HTML.</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À FAIRE (développement) : regrouper les seuils de sécurité (YOLO_FRAIS_MS=600, RTK_AGE_MAX_S=2, batterie 40 %, vMax, plafond 35 m, watchdog 500 ms) dans une classe SafetyLimits unique de constantes, et prouver par test qu'elle alimente à la fois la porte pré-vol et les points d'émission. Actuellement ces seuils existent et sont testés, mais sont déclarés par module (non centralisés). Amélioration recommandée, non bloquante.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AUDIT FORMEL À MENER (non bloquant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(v37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