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41.0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AUGMENTÉE : 51 nouveaux tests ajoutés (SafetyLimitsTest, SoccerPlanWidthTest, SoccerCameraAimTest, Soccer2DMotionControllerTest, SoccerAltitudePlannerTest — classes pures de sécurité). Métriques : instructions 85,3→86,0 %, BRANCHES 69,1→71,6 % (+2,5 pt), lignes 86,5→87,0 %, méthodes 81,8→82,9 %. Total 672 cas de test. Le plafond restant tient aux ~700 instructions du parser testées via Robolectric (non comptées par JaCoCo).</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EXPLICATION DES TESTS DE SÉCURITÉ (§10ter.4bis) : nouvelle section en langage clair décrivant CE QUE garantit chaque groupe de tests (arrêt sûr du mouvement, choix d'altitude borné, orientation caméra, largeur de cadrage stable, seuils gravés) et son lien avec les barrières de sécurité. Rend la preuve logicielle lisible par un examinateur non-développeur.</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86,0 %, lignes 87,0 %, branches 71,6 %, méthodes 82,9 %, classes 86,0 %. Total 672 cas de test automatisés.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AUDIT FORMEL À MENER (non bloquant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10ter.4bis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Il prouve que le drone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672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86 % (instructions), 87 % (lignes), 71,6 % (branches).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(v41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