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47.0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propre des sous-sections (4.2bis/ter/quater/quinquies → 4.2.1/2/3/4 ; 6ter/quater → 6.4/6.5 ; 4.0bis/ter/quater → 4.0.2/3/4), renvois mis à jour.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plus aucune note ouverte, seulement une liste claire de pièces à joindre.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+ 689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(§4.2.2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(§4.2.3 ; hypothèses non démontrées : décélération, latence, persistance, reprise, dérive) + plan à l'échelle (§4.2.2)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(§4.2.1/§4.2.3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§4.2.2)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4.2.3 Buffer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4.2.2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§4.2.3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§4.2.3,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§4.2.3)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§4.2.2).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(§4.2.3).</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(§4.2.2). C'est cette position, combinée au géorepérage logiciel et au buffer, qui assure le confinement du drone. La position exacte est confirmée au repérage du site ; les seuils de confinement (buffer ≥ 16,2 m à vMax 2 m/s) sont fixés au §4.2.3.</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(§9.3.5). Corridors et zones décrits sur le plan à l'échelle (§4.2.2),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43.0,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pas une amélioration future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fiches d'essai en vol (Annexe B), l'autorisation NAV Drone et les pièces administratives ne sont pas complétées, ce dossier reste une ÉBAUCHE non déposable, quelles que soient les signatures.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