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Système de captation vidéo autonome par aéronef télépiloté</w:t>
      </w:r>
    </w:p>
    <w:p>
      <w:pPr>
        <w:spacing w:after="40"/>
        <w:jc w:val="center"/>
      </w:pPr>
      <w:r>
        <w:rPr>
          <w:rFonts w:ascii="Calibri" w:cs="Calibri" w:eastAsia="Calibri" w:hAnsi="Calibri"/>
          <w:sz w:val="22"/>
          <w:szCs w:val="22"/>
        </w:rPr>
        <w:t xml:space="preserve">Version 5.0 (pré-remplie — À RÉVISER)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sz w:val="21"/>
          <w:szCs w:val="21"/>
        </w:rPr>
        <w:t xml:space="preserve">Ce dossier est une </w:t>
      </w:r>
      <w:r>
        <w:rPr>
          <w:rFonts w:ascii="Calibri" w:cs="Calibri" w:eastAsia="Calibri" w:hAnsi="Calibri"/>
          <w:b/>
          <w:bCs/>
          <w:sz w:val="21"/>
          <w:szCs w:val="21"/>
        </w:rPr>
        <w:t xml:space="preserve">version pré-remplie (v5) à réviser</w:t>
      </w:r>
      <w:r>
        <w:rPr>
          <w:rFonts w:ascii="Calibri" w:cs="Calibri" w:eastAsia="Calibri" w:hAnsi="Calibri"/>
          <w:sz w:val="21"/>
          <w:szCs w:val="21"/>
        </w:rPr>
        <w:t xml:space="preserve">. Les valeurs marquées </w:t>
      </w:r>
      <w:r>
        <w:rPr>
          <w:rFonts w:ascii="Calibri" w:cs="Calibri" w:eastAsia="Calibri" w:hAnsi="Calibri"/>
          <w:b/>
          <w:bCs/>
          <w:color w:val="BF8F00"/>
          <w:sz w:val="21"/>
          <w:szCs w:val="21"/>
        </w:rPr>
        <w:t xml:space="preserve">[EXEMPLE]</w:t>
      </w:r>
      <w:r>
        <w:rPr>
          <w:rFonts w:ascii="Calibri" w:cs="Calibri" w:eastAsia="Calibri" w:hAnsi="Calibri"/>
          <w:sz w:val="21"/>
          <w:szCs w:val="21"/>
        </w:rPr>
        <w:t xml:space="preserve"> sont des propositions réalistes de travail, PAS des faits établis : l'exploitant doit les vérifier, les corriger et les remplacer par ses données réelles (identité, immatriculation, lieu, dates, résultats d'essais) avant tout dépôt.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 Aucune opération à moins de 30 m du périmètre d'un événement annoncé ne doit être menée avant l'obtention du SFOC-RPAS.</w:t>
      </w:r>
    </w:p>
    <w:p>
      <w:pPr>
        <w:spacing w:after="100" w:line="276"/>
      </w:pPr>
      <w:r>
        <w:rPr>
          <w:rFonts w:ascii="Calibri" w:cs="Calibri" w:eastAsia="Calibri" w:hAnsi="Calibri"/>
          <w:b/>
          <w:bCs/>
          <w:sz w:val="21"/>
          <w:szCs w:val="21"/>
        </w:rPr>
        <w:t xml:space="preserve">Hypothèse d'opération retenue pour ce pré-remplissage : </w:t>
      </w:r>
      <w:r>
        <w:rPr>
          <w:rFonts w:ascii="Calibri" w:cs="Calibri" w:eastAsia="Calibri" w:hAnsi="Calibri"/>
          <w:sz w:val="21"/>
          <w:szCs w:val="21"/>
        </w:rPr>
        <w:t xml:space="preserve">match de soccer amateur, drone volant À CÔTÉ du terrain, à au moins 30 m de toute personne non participante (scénario le plus prudent). Si l'opération réelle diffère — événement annoncé au public, vol plus proche des personnes — les exigences changent (déclarations 922.05/922.06, distances) et le dossier doit être adapté en conséquence.</w:t>
      </w:r>
    </w:p>
    <w:p>
      <w:pPr>
        <w:spacing w:after="100" w:line="276"/>
      </w:pPr>
      <w:r>
        <w:rPr>
          <w:rFonts w:ascii="Calibri" w:cs="Calibri" w:eastAsia="Calibri" w:hAnsi="Calibri"/>
          <w:b/>
          <w:bCs/>
          <w:sz w:val="21"/>
          <w:szCs w:val="21"/>
        </w:rPr>
        <w:t xml:space="preserve">Distinction preuve / affirmation : </w:t>
      </w:r>
      <w:r>
        <w:rPr>
          <w:rFonts w:ascii="Calibri" w:cs="Calibri" w:eastAsia="Calibri" w:hAnsi="Calibri"/>
          <w:sz w:val="21"/>
          <w:szCs w:val="21"/>
        </w:rPr>
        <w:t xml:space="preserve">les résultats de tests logiciels présentés (§7) proviennent de l'exécution réelle de la suite de tests et des rapports JUnit horodatés. En revanche, les mesures de performance en vol (latence, temps de reprise, etc.) sont fournies sous forme de </w:t>
      </w:r>
      <w:r>
        <w:rPr>
          <w:rFonts w:ascii="Calibri" w:cs="Calibri" w:eastAsia="Calibri" w:hAnsi="Calibri"/>
          <w:b/>
          <w:bCs/>
          <w:sz w:val="21"/>
          <w:szCs w:val="21"/>
        </w:rPr>
        <w:t xml:space="preserve">gabarits à renseigner</w:t>
      </w:r>
      <w:r>
        <w:rPr>
          <w:rFonts w:ascii="Calibri" w:cs="Calibri" w:eastAsia="Calibri" w:hAnsi="Calibri"/>
          <w:sz w:val="21"/>
          <w:szCs w:val="21"/>
        </w:rPr>
        <w:t xml:space="preserve"> : elles doivent être mesurées sur l'aéronef réel — elles ne sont pas inventées.</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filme une partie de soccer à l'aide d'un aéronef télépiloté (RPA).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 et le pilote conserve la priorité absolue de reprise manuelle.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0 échec, 0 erreur, dont une preuve exhaustive de l'arbitre sur les 512 combinaisons de ses conditions de sécurité. Rapports JUnit horodatés au 2026-07-20.</w:t>
      </w:r>
    </w:p>
    <w:p>
      <w:pPr>
        <w:pStyle w:val="Heading2"/>
        <w:spacing w:after="100" w:before="200"/>
      </w:pPr>
      <w:r>
        <w:rPr>
          <w:rFonts w:ascii="Calibri" w:cs="Calibri" w:eastAsia="Calibri" w:hAnsi="Calibri"/>
          <w:b/>
          <w:bCs/>
          <w:color w:val="1F3864"/>
        </w:rPr>
        <w:t xml:space="preserve">0.1 Cadre réglementaire (synthèse)</w:t>
      </w:r>
    </w:p>
    <w:p>
      <w:pPr>
        <w:pStyle w:val="ListParagraph"/>
        <w:numPr>
          <w:ilvl w:val="0"/>
          <w:numId w:val="1"/>
        </w:numPr>
        <w:spacing w:after="60" w:line="270"/>
      </w:pPr>
      <w:r>
        <w:rPr>
          <w:rFonts w:ascii="Calibri" w:cs="Calibri" w:eastAsia="Calibri" w:hAnsi="Calibri"/>
          <w:b/>
          <w:bCs/>
          <w:sz w:val="21"/>
          <w:szCs w:val="21"/>
        </w:rPr>
        <w:t xml:space="preserve">SFOC événement annoncé requis </w:t>
      </w:r>
      <w:r>
        <w:rPr>
          <w:rFonts w:ascii="Calibri" w:cs="Calibri" w:eastAsia="Calibri" w:hAnsi="Calibri"/>
          <w:sz w:val="21"/>
          <w:szCs w:val="21"/>
        </w:rPr>
        <w:t xml:space="preserve">pour filmer à moins de 30 m (100 pi) du périmètre d'un événement extérieur annoncé — microdrones inclus depuis 2025-04-01.</w:t>
      </w:r>
    </w:p>
    <w:p>
      <w:pPr>
        <w:pStyle w:val="ListParagraph"/>
        <w:numPr>
          <w:ilvl w:val="0"/>
          <w:numId w:val="1"/>
        </w:numPr>
        <w:spacing w:after="60" w:line="270"/>
      </w:pPr>
      <w:r>
        <w:rPr>
          <w:rFonts w:ascii="Calibri" w:cs="Calibri" w:eastAsia="Calibri" w:hAnsi="Calibri"/>
          <w:b/>
          <w:bCs/>
          <w:sz w:val="21"/>
          <w:szCs w:val="21"/>
        </w:rPr>
        <w:t xml:space="preserve">Frais applicables </w:t>
      </w:r>
      <w:r>
        <w:rPr>
          <w:rFonts w:ascii="Calibri" w:cs="Calibri" w:eastAsia="Calibri" w:hAnsi="Calibri"/>
          <w:sz w:val="21"/>
          <w:szCs w:val="21"/>
        </w:rPr>
        <w:t xml:space="preserve">depuis 2025-11-04.</w:t>
      </w:r>
    </w:p>
    <w:p>
      <w:pPr>
        <w:pStyle w:val="ListParagraph"/>
        <w:numPr>
          <w:ilvl w:val="0"/>
          <w:numId w:val="1"/>
        </w:numPr>
        <w:spacing w:after="60" w:line="270"/>
      </w:pPr>
      <w:r>
        <w:rPr>
          <w:rFonts w:ascii="Calibri" w:cs="Calibri" w:eastAsia="Calibri" w:hAnsi="Calibri"/>
          <w:b/>
          <w:bCs/>
          <w:sz w:val="21"/>
          <w:szCs w:val="21"/>
        </w:rPr>
        <w:t xml:space="preserve">Drone ≥ 250 g : </w:t>
      </w:r>
      <w:r>
        <w:rPr>
          <w:rFonts w:ascii="Calibri" w:cs="Calibri" w:eastAsia="Calibri" w:hAnsi="Calibri"/>
          <w:sz w:val="21"/>
          <w:szCs w:val="21"/>
        </w:rPr>
        <w:t xml:space="preserve">pilote avancé, immatriculation, déclarations 922.05 « près des personnes » / 922.06 « au-dessus des personnes ».</w:t>
      </w:r>
    </w:p>
    <w:p>
      <w:pPr>
        <w:pStyle w:val="ListParagraph"/>
        <w:numPr>
          <w:ilvl w:val="0"/>
          <w:numId w:val="1"/>
        </w:numPr>
        <w:spacing w:after="60" w:line="270"/>
      </w:pPr>
      <w:r>
        <w:rPr>
          <w:rFonts w:ascii="Calibri" w:cs="Calibri" w:eastAsia="Calibri" w:hAnsi="Calibri"/>
          <w:b/>
          <w:bCs/>
          <w:sz w:val="21"/>
          <w:szCs w:val="21"/>
        </w:rPr>
        <w:t xml:space="preserve">Délai de service : </w:t>
      </w:r>
      <w:r>
        <w:rPr>
          <w:rFonts w:ascii="Calibri" w:cs="Calibri" w:eastAsia="Calibri" w:hAnsi="Calibri"/>
          <w:sz w:val="21"/>
          <w:szCs w:val="21"/>
        </w:rPr>
        <w:t xml:space="preserve">jusqu'à 30 jours ouvrables après une demande complète.</w:t>
      </w:r>
    </w:p>
    <w:p>
      <w:pPr>
        <w:pStyle w:val="Heading2"/>
        <w:spacing w:after="100" w:before="200"/>
      </w:pPr>
      <w:r>
        <w:rPr>
          <w:rFonts w:ascii="Calibri" w:cs="Calibri" w:eastAsia="Calibri" w:hAnsi="Calibri"/>
          <w:b/>
          <w:bCs/>
          <w:color w:val="1F3864"/>
        </w:rPr>
        <w:t xml:space="preserve">0.2 État d'avancement (auto-évaluation honnête)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Complétude</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Reste à faire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85 %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Documenté, diagrammes, GSN</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Mécanismes de sécurité</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75 %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Testés ; à démontrer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(tests)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Exécutés ; couverture à ajouter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dangers ; cotations à valider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d'essais terrain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Mesures quantitatives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Gabarits fournis ; à mesurer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Données du site + administratif</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w:t>
            </w:r>
          </w:p>
        </w:tc>
      </w:tr>
      <w:tr>
        <w:tc>
          <w:tcPr>
            <w:tcW w:type="dxa" w:w="52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GLOBAL</w:t>
            </w:r>
          </w:p>
        </w:tc>
        <w:tc>
          <w:tcPr>
            <w:tcW w:type="dxa" w:w="15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55 %</w:t>
            </w:r>
          </w:p>
        </w:tc>
        <w:tc>
          <w:tcPr>
            <w:tcW w:type="dxa" w:w="26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vs 40 % en v1</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et preuves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4300"/>
        <w:gridCol w:w="43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4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 / sous-objectif</w:t>
            </w:r>
          </w:p>
        </w:tc>
        <w:tc>
          <w:tcPr>
            <w:tcW w:type="dxa" w:w="4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 (traçable)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 l'arbitre est le seul point d'émission (diagramme fig. 1)</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de sécurité non prouvée vraie bloque le mouvement (fail-closed)</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preuve exhaustive 512 combinaisons (§7.2)</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pilote peut reprendre la main instantanément, en toute circonstance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testée sur toutes les combinaisons (§7.2) ; procédure §9</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 (aucune émission)</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Emission2DGuard ; test « défaut inerte » (§7)</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entrées dégradées (perte YOLO/vidéo, NaN, latence) ne produisent pas de mouvement dangereux</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neutralisation par âge ; §4.3</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reste dans un volume défini</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terrain + plafond 35 m + garde proximité 200 m (§2, §4.4)</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participantes sont protégées</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922.05/922.06 ; périmètre ; observateurs ; registre §6</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identifiés sont atténués à un niveau acceptable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de ~50 dangers §6 ; plan d'essais §8</w:t>
            </w:r>
          </w:p>
        </w:tc>
      </w:tr>
    </w:tbl>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Le partage de données entre fils se fait exclusivement par des variables marquées @Volatile (visibilité mémoire garantie), et la décision d'émission (arbitre) s'exécute sur le fil principal de contrôle. Aucune donnée n'est lue sans avoir été publiée de façon sûre.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(RTK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 un incident passé (jeton Mapbox) a été révoqué et purgé de l'historique.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r>
        <w:br w:type="page"/>
      </w:r>
    </w:p>
    <w:p>
      <w:pPr>
        <w:pStyle w:val="Heading1"/>
        <w:spacing w:after="140" w:before="280"/>
      </w:pPr>
      <w:r>
        <w:rPr>
          <w:rFonts w:ascii="Calibri" w:cs="Calibri" w:eastAsia="Calibri" w:hAnsi="Calibri"/>
          <w:b/>
          <w:bCs/>
          <w:color w:val="1F3864"/>
        </w:rPr>
        <w:t xml:space="preserve">4. Concept d'opérations (CONOPS)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amateur (ligue locale), non annoncé au grand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limités — environ 30 personnes, regroupées d'un seul côté, hors zone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joueurs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+ 1 arbitre central + 2 assistants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non-participants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30 m des spectateurs et de toute personne non participante (aucune déclaration 922.05/06 requise à cette distance)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bien sous le plafond réglementaire de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en bord de touche, vue sur tout le volume ; observateur côté opposé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fixer selon le calendrier de la ligue (jour, en lumière du jour)</w:t>
            </w:r>
          </w:p>
        </w:tc>
      </w:tr>
    </w:tbl>
    <w:p>
      <w:pPr>
        <w:spacing w:after="100" w:line="276"/>
      </w:pPr>
      <w:r>
        <w:rPr>
          <w:rFonts w:ascii="Calibri" w:cs="Calibri" w:eastAsia="Calibri" w:hAnsi="Calibri"/>
          <w:sz w:val="21"/>
          <w:szCs w:val="21"/>
        </w:rPr>
        <w:t xml:space="preserve">Volume de vol : borné par le polygone du terrain (géorepérage TerrainGeofence, point-dans-polygone) ; garde de proximité opérateur (≤ 200 m).</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de sécurité : </w:t>
      </w:r>
      <w:r>
        <w:rPr>
          <w:rFonts w:ascii="Calibri" w:cs="Calibri" w:eastAsia="Calibri" w:hAnsi="Calibri"/>
          <w:sz w:val="21"/>
          <w:szCs w:val="21"/>
        </w:rPr>
        <w:t xml:space="preserve">ce polygone devient une barrière logicielle (géorepérage). À chaque instant, la position visée par le réalisateur est ramenée à l'intérieur du polygone : le système ne peut pas proposer une cible hors des limites définies. C'est une limite imposée en amont de l'IA, indépendante de la détection des joueurs.</w:t>
      </w:r>
    </w:p>
    <w:p>
      <w:pPr>
        <w:spacing w:after="100" w:line="276"/>
      </w:pPr>
      <w:r>
        <w:rPr>
          <w:rFonts w:ascii="Calibri" w:cs="Calibri" w:eastAsia="Calibri" w:hAnsi="Calibri"/>
          <w:sz w:val="21"/>
          <w:szCs w:val="21"/>
        </w:rPr>
        <w:t xml:space="preserve">Éléments définis dans l'application Web et transmis à l'aéronef :</w:t>
      </w:r>
    </w:p>
    <w:p>
      <w:pPr>
        <w:pStyle w:val="ListParagraph"/>
        <w:numPr>
          <w:ilvl w:val="0"/>
          <w:numId w:val="1"/>
        </w:numPr>
        <w:spacing w:after="60" w:line="270"/>
      </w:pPr>
      <w:r>
        <w:rPr>
          <w:rFonts w:ascii="Calibri" w:cs="Calibri" w:eastAsia="Calibri" w:hAnsi="Calibri"/>
          <w:sz w:val="21"/>
          <w:szCs w:val="21"/>
        </w:rPr>
        <w:t xml:space="preserve">Le polygone du terrain (sommets en latitude/longitude) — délimite le volume horizontal autorisé.</w:t>
      </w:r>
    </w:p>
    <w:p>
      <w:pPr>
        <w:pStyle w:val="ListParagraph"/>
        <w:numPr>
          <w:ilvl w:val="0"/>
          <w:numId w:val="1"/>
        </w:numPr>
        <w:spacing w:after="60" w:line="270"/>
      </w:pPr>
      <w:r>
        <w:rPr>
          <w:rFonts w:ascii="Calibri" w:cs="Calibri" w:eastAsia="Calibri" w:hAnsi="Calibri"/>
          <w:sz w:val="21"/>
          <w:szCs w:val="21"/>
        </w:rPr>
        <w:t xml:space="preserve">Le cas échéant, le rail de trajectoire (mode rail) — trajectoire prédéfinie que le drone suit latéralement.</w:t>
      </w:r>
    </w:p>
    <w:p>
      <w:pPr>
        <w:pStyle w:val="ListParagraph"/>
        <w:numPr>
          <w:ilvl w:val="0"/>
          <w:numId w:val="1"/>
        </w:numPr>
        <w:spacing w:after="60" w:line="270"/>
      </w:pPr>
      <w:r>
        <w:rPr>
          <w:rFonts w:ascii="Calibri" w:cs="Calibri" w:eastAsia="Calibri" w:hAnsi="Calibri"/>
          <w:sz w:val="21"/>
          <w:szCs w:val="21"/>
        </w:rPr>
        <w:t xml:space="preserve">Les paramètres de mission associés (altitude cible, vitesse maximale) rattachés au profil enregistré.</w:t>
      </w:r>
    </w:p>
    <w:p>
      <w:pPr>
        <w:spacing w:after="100" w:line="276"/>
      </w:pPr>
      <w:r>
        <w:rPr>
          <w:rFonts w:ascii="Calibri" w:cs="Calibri" w:eastAsia="Calibri" w:hAnsi="Calibri"/>
          <w:b/>
          <w:bCs/>
          <w:sz w:val="21"/>
          <w:szCs w:val="21"/>
        </w:rPr>
        <w:t xml:space="preserve">Limites de cette barrière (à démontrer par essai) : </w:t>
      </w:r>
      <w:r>
        <w:rPr>
          <w:rFonts w:ascii="Calibri" w:cs="Calibri" w:eastAsia="Calibri" w:hAnsi="Calibri"/>
          <w:sz w:val="21"/>
          <w:szCs w:val="21"/>
        </w:rPr>
        <w:t xml:space="preserve">le géorepérage dépend de la précision de la position (RTK/GNSS). En cas de position dégradée, l'arbitre bloque l'émission plutôt que de risquer une sortie de zone (fail-closed). La précision effective de la barrière en vol doit être mesurée lors de la campagne d'essais (voir §8) et le polygone doit inclure une marge de sécurité par rapport au public.</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montrant le polygone du terrain réel de l'opération, et préciser la marge de sécurité retenue entre le polygone et les zones accessibles au public.</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 plan à l'échelle, polygone, positions pilote/observateurs, zones décollage/atterrissage + zone d'urgence, carte d'espace aérien, NOTAM.</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proposé (à valider TC)</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informés et consentants (breffés)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Proposé : participants informés ; statut final à confirmer avec TC — ne pas présumer « membre d'équipage »</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 breffés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Informés du vol ; traités comme participants breffés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 (≈30 pers.)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participants — maintenus ≥ 30 m (aucune 922.05/06 nécessaire à cette distance)</w:t>
            </w:r>
          </w:p>
        </w:tc>
      </w:tr>
    </w:tbl>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Les cotations sont proposées et à valider par l'exploitant, qui justifiera l'acceptabilité du risque résiduel (ALARP).</w:t>
      </w:r>
    </w:p>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GPS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exigé (FIX/FLOAT) sinon blocage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en FLOAT (précision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exige position fraîche fiable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FIX RTK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 hover/RTH DJI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 ; VLOS ; procédure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arrêt ; distances 922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isolé + essai statique au sol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w:t>
      </w:r>
    </w:p>
    <w:p>
      <w:pPr>
        <w:spacing w:after="100" w:line="276"/>
      </w:pPr>
      <w:r>
        <w:rPr>
          <w:rFonts w:ascii="Calibri" w:cs="Calibri" w:eastAsia="Calibri" w:hAnsi="Calibri"/>
          <w:sz w:val="21"/>
          <w:szCs w:val="21"/>
        </w:rPr>
        <w:t xml:space="preserve">La FMEA (Failure Mode and Effects Analysis) examine, module par module, comment chaque composant peut défaillir, la cause, l'effet, le moyen de détection et la réaction conçue. Elle complète le registre des risques (orienté danger) par une vue orientée composant.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550"/>
        <w:gridCol w:w="1550"/>
        <w:gridCol w:w="1600"/>
        <w:gridCol w:w="1550"/>
        <w:gridCol w:w="161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Cause</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Détection</w:t>
            </w:r>
          </w:p>
        </w:tc>
        <w:tc>
          <w:tcPr>
            <w:tcW w:type="dxa" w:w="161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conçue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Non-détection / fausse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Occlusion, contre-jour</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 ; suivi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 tracker + arbitre → 0 si non fiable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Croisements rapides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Cohérence IoU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Lissage ; centre de groupe robuste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 entrée extrême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Bornage interne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Sorties bornées ; arbitre en aval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NaN / hors plage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invalide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vert.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isFinite / bornes</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Forçage à 0 (NaN-safe) ; vMax</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 mal évalué</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Logique double verrou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test 512 combinaisons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mal lue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dangereuse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 exhaustive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priorité pilote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hors polygone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position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Point-dans-polygone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ramenée ; sinon blocage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Interférence/portée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SDK DJI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vidéo</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dégradée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de la frame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périmée → commande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CPU/mémoire/OS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Absence de cycle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une colonne de criticité (RPN = probabilité × gravité × détectabilité) si votre référentiel l'exige, et étendre aux composants propres à votre configuration.</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(512 cas)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Preuve d'intégrité du dépôt (gestion d'un secret exposé)</w:t>
      </w:r>
    </w:p>
    <w:p>
      <w:pPr>
        <w:spacing w:after="100" w:line="276"/>
      </w:pPr>
      <w:r>
        <w:rPr>
          <w:rFonts w:ascii="Calibri" w:cs="Calibri" w:eastAsia="Calibri" w:hAnsi="Calibri"/>
          <w:sz w:val="21"/>
          <w:szCs w:val="21"/>
        </w:rPr>
        <w:t xml:space="preserve">Un jeton d'accès Mapbox avait été exposé par erreur dans d'anciens fichiers de prévisualisation. La protection anti-secret de la plateforme d'hébergement a bloqué la publication. Mesures prises : (1) le jeton a été révoqué côté Mapbox ; (2) le secret a été retiré de tout l'historique du dépôt ; (3) une vérification confirme qu'aucun commit ne contient plus le motif de clé.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Résultat</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Commits contenant la clé Mapbox (après nettoyage)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(aucun)</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d'état propre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14386fe — 2026-07-20</w:t>
            </w:r>
          </w:p>
        </w:tc>
      </w:tr>
    </w:tbl>
    <w:p>
      <w:pPr>
        <w:spacing w:after="100" w:line="276"/>
      </w:pPr>
      <w:r>
        <w:rPr>
          <w:rFonts w:ascii="Calibri" w:cs="Calibri" w:eastAsia="Calibri" w:hAnsi="Calibri"/>
          <w:i/>
          <w:iCs/>
          <w:color w:val="595959"/>
          <w:sz w:val="21"/>
          <w:szCs w:val="21"/>
        </w:rPr>
        <w:t xml:space="preserve">Cette gestion démontre une discipline de sécurité de l'information (secrets non versionnés), pertinente pour la crédibilité générale de l'exploitant.</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95e percentile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160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w:t>
      </w:r>
    </w:p>
    <w:p>
      <w:pPr>
        <w:pStyle w:val="ListParagraph"/>
        <w:numPr>
          <w:ilvl w:val="0"/>
          <w:numId w:val="1"/>
        </w:numPr>
        <w:spacing w:after="60" w:line="270"/>
      </w:pPr>
      <w:r>
        <w:rPr>
          <w:rFonts w:ascii="Calibri" w:cs="Calibri" w:eastAsia="Calibri" w:hAnsi="Calibri"/>
          <w:sz w:val="21"/>
          <w:szCs w:val="21"/>
        </w:rPr>
        <w:t xml:space="preserve">Intrusion périmètre : arrêt, éloignement, interruption.</w:t>
      </w:r>
    </w:p>
    <w:p>
      <w:pPr>
        <w:pStyle w:val="ListParagraph"/>
        <w:numPr>
          <w:ilvl w:val="0"/>
          <w:numId w:val="1"/>
        </w:numPr>
        <w:spacing w:after="60" w:line="270"/>
      </w:pPr>
      <w:r>
        <w:rPr>
          <w:rFonts w:ascii="Calibri" w:cs="Calibri" w:eastAsia="Calibri" w:hAnsi="Calibri"/>
          <w:sz w:val="21"/>
          <w:szCs w:val="21"/>
        </w:rPr>
        <w:t xml:space="preserve">Perte de liaison : failsafe DJI (RTH/hover) + procédure.</w:t>
      </w:r>
    </w:p>
    <w:p>
      <w:pPr>
        <w:pStyle w:val="ListParagraph"/>
        <w:numPr>
          <w:ilvl w:val="0"/>
          <w:numId w:val="1"/>
        </w:numPr>
        <w:spacing w:after="60" w:line="270"/>
      </w:pPr>
      <w:r>
        <w:rPr>
          <w:rFonts w:ascii="Calibri" w:cs="Calibri" w:eastAsia="Calibri" w:hAnsi="Calibri"/>
          <w:sz w:val="21"/>
          <w:szCs w:val="21"/>
        </w:rPr>
        <w:t xml:space="preserve">Comportement anormal : reprise manuelle, désarmement, atterrissage.</w:t>
      </w:r>
    </w:p>
    <w:p>
      <w:pPr>
        <w:pStyle w:val="ListParagraph"/>
        <w:numPr>
          <w:ilvl w:val="0"/>
          <w:numId w:val="1"/>
        </w:numPr>
        <w:spacing w:after="60" w:line="270"/>
      </w:pPr>
      <w:r>
        <w:rPr>
          <w:rFonts w:ascii="Calibri" w:cs="Calibri" w:eastAsia="Calibri" w:hAnsi="Calibri"/>
          <w:sz w:val="21"/>
          <w:szCs w:val="21"/>
        </w:rPr>
        <w:t xml:space="preserve">Météo hors limites : interruption et atterrissage.</w:t>
      </w:r>
    </w:p>
    <w:p>
      <w:pPr>
        <w:pStyle w:val="ListParagraph"/>
        <w:numPr>
          <w:ilvl w:val="0"/>
          <w:numId w:val="1"/>
        </w:numPr>
        <w:spacing w:after="60" w:line="270"/>
      </w:pPr>
      <w:r>
        <w:rPr>
          <w:rFonts w:ascii="Calibri" w:cs="Calibri" w:eastAsia="Calibri" w:hAnsi="Calibri"/>
          <w:sz w:val="21"/>
          <w:szCs w:val="21"/>
        </w:rPr>
        <w:t xml:space="preserve">Interruption du match / suspension de l'opération.</w:t>
      </w:r>
    </w:p>
    <w:p>
      <w:pPr>
        <w:pStyle w:val="ListParagraph"/>
        <w:numPr>
          <w:ilvl w:val="0"/>
          <w:numId w:val="1"/>
        </w:numPr>
        <w:spacing w:after="60" w:line="270"/>
      </w:pPr>
      <w:r>
        <w:rPr>
          <w:rFonts w:ascii="Calibri" w:cs="Calibri" w:eastAsia="Calibri" w:hAnsi="Calibri"/>
          <w:sz w:val="21"/>
          <w:szCs w:val="21"/>
        </w:rPr>
        <w:t xml:space="preserve">Après incident : sécuriser, consigner, conserver journaux, aviser autorités si requis.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Détailler chaque urgence en étapes numérotées ; désigner qui appelle les secours ; décrire la gestion du public.</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(TC 24-0109)</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remplir et signer ‹en cours›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(ébauche v2)</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TC.RPASCentre-CentreSATP.TC@tc.gc.ca — délai jusqu'à 30 jours ouvrables après demande complète.</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 requis &lt;30 m ; microdrones depuis 2025-04-01 ; frais depuis 2025-11-04 ; 922.05/922.06 ; délai 30 jours ouvrables.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 pré-remplie)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2026-07-20T08:32:52.744Z</dcterms:created>
  <dcterms:modified xsi:type="dcterms:W3CDTF">2026-07-20T08:32:52.744Z</dcterms:modified>
</cp:coreProperties>
</file>

<file path=docProps/custom.xml><?xml version="1.0" encoding="utf-8"?>
<Properties xmlns="http://schemas.openxmlformats.org/officeDocument/2006/custom-properties" xmlns:vt="http://schemas.openxmlformats.org/officeDocument/2006/docPropsVTypes"/>
</file>