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51.0 — Événement annoncé (audit v50 appliqué — baseline unique, gate retiré) — 2026-07-20</w:t>
      </w:r>
    </w:p>
    <w:p>
      <w:pPr>
        <w:spacing w:after="40"/>
        <w:jc w:val="center"/>
      </w:pPr>
      <w:r>
        <w:rPr>
          <w:rFonts w:ascii="Calibri" w:cs="Calibri" w:eastAsia="Calibri" w:hAnsi="Calibri"/>
          <w:sz w:val="20"/>
          <w:szCs w:val="20"/>
        </w:rPr>
        <w:t xml:space="preserve">Exploitant : CineFlight ‹dénomination légale à confirmer› · Pilote resp. : ‹NOM de la personne à désigner›</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left w:val="single" w:color="C00000" w:sz="8"/>
          <w:bottom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À CONFIRMER PAR L'EXPLOITANT : exploitant — ‹nom, courriel, téléphone›.</w:t>
      </w:r>
    </w:p>
    <w:p>
      <w:r>
        <w:br w:type="page"/>
      </w:r>
    </w:p>
    <w:p>
      <w:pPr>
        <w:pStyle w:val="Heading1"/>
        <w:spacing w:after="140" w:before="200"/>
      </w:pPr>
      <w:r>
        <w:rPr>
          <w:rFonts w:ascii="Calibri" w:cs="Calibri" w:eastAsia="Calibri" w:hAnsi="Calibri"/>
          <w:b/>
          <w:bCs/>
          <w:color w:val="1F3864"/>
        </w:rPr>
        <w:t xml:space="preserve">Résumé exécutif</w:t>
      </w:r>
    </w:p>
    <w:p>
      <w:pPr>
        <w:spacing w:after="80" w:line="272"/>
      </w:pPr>
      <w:r>
        <w:rPr>
          <w:rFonts w:ascii="Calibri" w:cs="Calibri" w:eastAsia="Calibri" w:hAnsi="Calibri"/>
          <w:sz w:val="21"/>
          <w:szCs w:val="21"/>
        </w:rPr>
        <w:t xml:space="preserve">Ce dossier appuie une demande de SFOC-RPAS pour une captation vidéo aérienne AUTOMATISÉE, sous supervision continue du pilote (VLOS), lors d'un match de soccer annoncé au parc La Fontaine (Montréal). Le drone vole À CÔTÉ du terrain, jamais au-dessus des personnes, à vitesse réduite (2 m/s). Le présent résumé donne l'état réel du dossier ; le détail figure dans les sections référencées.</w:t>
      </w:r>
    </w:p>
    <w:p>
      <w:pPr>
        <w:pStyle w:val="Heading2"/>
        <w:spacing w:after="90" w:before="150"/>
      </w:pPr>
      <w:r>
        <w:rPr>
          <w:rFonts w:ascii="Calibri" w:cs="Calibri" w:eastAsia="Calibri" w:hAnsi="Calibri"/>
          <w:b/>
          <w:bCs/>
          <w:color w:val="1F3864"/>
        </w:rPr>
        <w:t xml:space="preserve">Ce qui est DÉMONTRÉ (crédit logique / essais au sol)</w:t>
      </w:r>
    </w:p>
    <w:p>
      <w:pPr>
        <w:pStyle w:val="ListParagraph"/>
        <w:numPr>
          <w:ilvl w:val="0"/>
          <w:numId w:val="1"/>
        </w:numPr>
        <w:spacing w:after="40" w:line="264"/>
      </w:pPr>
      <w:r>
        <w:rPr>
          <w:rFonts w:ascii="Calibri" w:cs="Calibri" w:eastAsia="Calibri" w:hAnsi="Calibri"/>
          <w:sz w:val="21"/>
          <w:szCs w:val="21"/>
        </w:rPr>
        <w:t xml:space="preserve">Signe des commandes : throttle et axes pitch/roll/yaw validés au sol (E-01a/b + test unitaire) — la commande « monter » produit bien une montée logicielle (§6.4 HAZ-44).</w:t>
      </w:r>
    </w:p>
    <w:p>
      <w:pPr>
        <w:pStyle w:val="ListParagraph"/>
        <w:numPr>
          <w:ilvl w:val="0"/>
          <w:numId w:val="1"/>
        </w:numPr>
        <w:spacing w:after="40" w:line="264"/>
      </w:pPr>
      <w:r>
        <w:rPr>
          <w:rFonts w:ascii="Calibri" w:cs="Calibri" w:eastAsia="Calibri" w:hAnsi="Calibri"/>
          <w:sz w:val="21"/>
          <w:szCs w:val="21"/>
        </w:rPr>
        <w:t xml:space="preserve">Barrières de sécurité logicielles validées au sol : perte vidéo/YOLO (défaut trouvé et corrigé, garde d'âge), arrêt d'urgence (E-08), perte de liaison RC (E-09, protection rendue permanente).</w:t>
      </w:r>
    </w:p>
    <w:p>
      <w:pPr>
        <w:pStyle w:val="ListParagraph"/>
        <w:numPr>
          <w:ilvl w:val="0"/>
          <w:numId w:val="1"/>
        </w:numPr>
        <w:spacing w:after="40" w:line="264"/>
      </w:pPr>
      <w:r>
        <w:rPr>
          <w:rFonts w:ascii="Calibri" w:cs="Calibri" w:eastAsia="Calibri" w:hAnsi="Calibri"/>
          <w:sz w:val="21"/>
          <w:szCs w:val="21"/>
        </w:rPr>
        <w:t xml:space="preserve">Architecture fail-closed : l'IA ne commande jamais directement ; un arbitre unique bloque le mouvement dès qu'une condition de sécurité manque. Watchdog de cycle (500 ms) implémenté et testé.</w:t>
      </w:r>
    </w:p>
    <w:p>
      <w:pPr>
        <w:pStyle w:val="ListParagraph"/>
        <w:numPr>
          <w:ilvl w:val="0"/>
          <w:numId w:val="1"/>
        </w:numPr>
        <w:spacing w:after="40" w:line="264"/>
      </w:pPr>
      <w:r>
        <w:rPr>
          <w:rFonts w:ascii="Calibri" w:cs="Calibri" w:eastAsia="Calibri" w:hAnsi="Calibri"/>
          <w:sz w:val="21"/>
          <w:szCs w:val="21"/>
        </w:rPr>
        <w:t xml:space="preserve">Preuve logicielle : 696 cas de test automatisés ; couverture du cœur sécurité 86 % (instructions), 71,6 % (branches). Classe SafetyLimits centralisant les seuils.</w:t>
      </w:r>
    </w:p>
    <w:p>
      <w:pPr>
        <w:pStyle w:val="ListParagraph"/>
        <w:numPr>
          <w:ilvl w:val="0"/>
          <w:numId w:val="1"/>
        </w:numPr>
        <w:spacing w:after="40" w:line="264"/>
      </w:pPr>
      <w:r>
        <w:rPr>
          <w:rFonts w:ascii="Calibri" w:cs="Calibri" w:eastAsia="Calibri" w:hAnsi="Calibri"/>
          <w:sz w:val="21"/>
          <w:szCs w:val="21"/>
        </w:rPr>
        <w:t xml:space="preserve">Confinement chiffré : buffer de contingence ~16 m à 2 m/s — VALEUR DE CONCEPTION PROVISOIRE (hypothèses conservatrices proposées mais non démontrées : décélération, latence, persistance de commande, reprise, dérive). Sera qualifié de majorant opérationnel seulement après démonstration en vol. Plan à l'échelle et analyse géométrique (§4.2.1 à §4.2.4).</w:t>
      </w:r>
    </w:p>
    <w:p>
      <w:pPr>
        <w:pStyle w:val="ListParagraph"/>
        <w:numPr>
          <w:ilvl w:val="0"/>
          <w:numId w:val="1"/>
        </w:numPr>
        <w:spacing w:after="40" w:line="264"/>
      </w:pPr>
      <w:r>
        <w:rPr>
          <w:rFonts w:ascii="Calibri" w:cs="Calibri" w:eastAsia="Calibri" w:hAnsi="Calibri"/>
          <w:sz w:val="21"/>
          <w:szCs w:val="21"/>
        </w:rPr>
        <w:t xml:space="preserve">Procédures d'urgence : NEUF procédures d'urgence numérotées (§9.3.1 à §9.3.9), complétées par une section d'autorité et de communications (§9.3.10), couvrant intrusion, perte RC/vidéo/GPS, batterie, VLOS, arrêt d'urgence (§9.3).</w:t>
      </w:r>
    </w:p>
    <w:p>
      <w:pPr>
        <w:pStyle w:val="Heading2"/>
        <w:spacing w:after="90" w:before="150"/>
      </w:pPr>
      <w:r>
        <w:rPr>
          <w:rFonts w:ascii="Calibri" w:cs="Calibri" w:eastAsia="Calibri" w:hAnsi="Calibri"/>
          <w:b/>
          <w:bCs/>
          <w:color w:val="1F3864"/>
        </w:rPr>
        <w:t xml:space="preserve">Ce qui RESTE à faire avant dépôt (crédit opérationnel / vol)</w:t>
      </w:r>
    </w:p>
    <w:p>
      <w:pPr>
        <w:pStyle w:val="ListParagraph"/>
        <w:numPr>
          <w:ilvl w:val="0"/>
          <w:numId w:val="1"/>
        </w:numPr>
        <w:spacing w:after="40" w:line="264"/>
      </w:pPr>
      <w:r>
        <w:rPr>
          <w:rFonts w:ascii="Calibri" w:cs="Calibri" w:eastAsia="Calibri" w:hAnsi="Calibri"/>
          <w:sz w:val="21"/>
          <w:szCs w:val="21"/>
        </w:rPr>
        <w:t xml:space="preserve">Essais EN VOL : confirmer le SENS PHYSIQUE (le drone monte réellement), mesurer le freinage réel et le délai de reprise pilote (E-12), puis VERROUILLER le buffer de confinement.</w:t>
      </w:r>
    </w:p>
    <w:p>
      <w:pPr>
        <w:pStyle w:val="ListParagraph"/>
        <w:numPr>
          <w:ilvl w:val="0"/>
          <w:numId w:val="1"/>
        </w:numPr>
        <w:spacing w:after="40" w:line="264"/>
      </w:pPr>
      <w:r>
        <w:rPr>
          <w:rFonts w:ascii="Calibri" w:cs="Calibri" w:eastAsia="Calibri" w:hAnsi="Calibri"/>
          <w:sz w:val="21"/>
          <w:szCs w:val="21"/>
        </w:rPr>
        <w:t xml:space="preserve">NAV Drone — SÉQUENCE : AVANT le dépôt SFOC, joindre l'analyse d'espace aérien (cartes, coordonnées, volume) et la méthode prévue d'obtention des autorisations. APRÈS délivrance du SFOC et avant chaque opération : créer l'opération dans NAV Drone sous la catégorie appropriée, satisfaire les tâches de permission générées et conserver le RPAS Operation Summary accepté, lorsqu'applicable. Aucun statut d'autorisation n'est présumé.</w:t>
      </w:r>
    </w:p>
    <w:p>
      <w:pPr>
        <w:pStyle w:val="ListParagraph"/>
        <w:numPr>
          <w:ilvl w:val="0"/>
          <w:numId w:val="1"/>
        </w:numPr>
        <w:spacing w:after="40" w:line="264"/>
      </w:pPr>
      <w:r>
        <w:rPr>
          <w:rFonts w:ascii="Calibri" w:cs="Calibri" w:eastAsia="Calibri" w:hAnsi="Calibri"/>
          <w:sz w:val="21"/>
          <w:szCs w:val="21"/>
        </w:rPr>
        <w:t xml:space="preserve">Pièces administratives : l'événement est annoncé au public ; le périmètre officiel de l'événement sera cartographié. La demande retient PROVISOIREMENT le scénario SFOC conservateur ; le fondement « événement annoncé » sera confirmé lorsque la distance minimale entre le volume de vol et les limites de l'événement aura été établie (critère officiel : vol à moins de 30 m des limites). Certificat de pilote et immatriculation : SANS OBJET si la masse opérationnelle du drone reste &lt; 250 g (à confirmer par pesée) ; requis seulement si la masse atteint 250 g ou plus. Attestation d'assurance et autorisations écrites (organisateur, arrondissement) à joindre.</w:t>
      </w:r>
    </w:p>
    <w:p>
      <w:pPr>
        <w:pStyle w:val="ListParagraph"/>
        <w:numPr>
          <w:ilvl w:val="0"/>
          <w:numId w:val="1"/>
        </w:numPr>
        <w:spacing w:after="40" w:line="264"/>
      </w:pPr>
      <w:r>
        <w:rPr>
          <w:rFonts w:ascii="Calibri" w:cs="Calibri" w:eastAsia="Calibri" w:hAnsi="Calibri"/>
          <w:sz w:val="21"/>
          <w:szCs w:val="21"/>
        </w:rPr>
        <w:t xml:space="preserve">Exercice d'intrusion documenté (fiche prête), et clôture ALARP des dangers élevés après démonstration des barrières en vol.</w:t>
      </w:r>
    </w:p>
    <w:p>
      <w:pPr>
        <w:pStyle w:val="Heading2"/>
        <w:spacing w:after="90" w:before="150"/>
      </w:pPr>
      <w:r>
        <w:rPr>
          <w:rFonts w:ascii="Calibri" w:cs="Calibri" w:eastAsia="Calibri" w:hAnsi="Calibri"/>
          <w:b/>
          <w:bCs/>
          <w:color w:val="1F3864"/>
        </w:rPr>
        <w:t xml:space="preserve">Règle d'honnêteté appliquée</w:t>
      </w:r>
    </w:p>
    <w:p>
      <w:pPr>
        <w:spacing w:after="80" w:line="272"/>
      </w:pPr>
      <w:r>
        <w:rPr>
          <w:rFonts w:ascii="Calibri" w:cs="Calibri" w:eastAsia="Calibri" w:hAnsi="Calibri"/>
          <w:b/>
          <w:bCs/>
          <w:sz w:val="21"/>
          <w:szCs w:val="21"/>
        </w:rPr>
        <w:t xml:space="preserve">Conformément à la règle de crédit des barrières (§10quater S.5), aucun élément n'est présenté comme acquis avant sa démonstration. Les essais au sol donnent un crédit sur la LOGIQUE ; le crédit opérationnel PLEIN exige la démonstration en vol. Le statut du dossier est ÉBAUCHE — non déposable en l'état. NOTE : la version, la date, le commit et le hash APK sont pilotés depuis CE tableau (source documentaire unique) ; toute divergence ailleurs dans le dossier est une erreur à corriger. Le dossier deviendra DÉPOSABLE une fois les éléments « en vol » et administratifs complétés et un réviseur indépendant désigné.</w:t>
      </w:r>
    </w:p>
    <w:p>
      <w:pPr>
        <w:spacing w:after="80" w:line="272"/>
      </w:pPr>
      <w:r>
        <w:rPr>
          <w:rFonts w:ascii="Calibri" w:cs="Calibri" w:eastAsia="Calibri" w:hAnsi="Calibri"/>
          <w:sz w:val="21"/>
          <w:szCs w:val="21"/>
        </w:rPr>
        <w:t xml:space="preserve">État d'avancement (statut, non chiffré) : ÉBAUCHE non déposable. TROIS blocages critiques restent OUVERTS (comportement Virtual Stick inconnu — E-03 au banc ; watchdog non indépendant ; confinement non démontré) ; un seul suffit à rendre l'opération non prête. RÉSOLU en v51 : le blocage logiciel obstacleGateAllows a été levé PROPREMENT — condition RETIRÉE du chemin de la baseline altitude (pas un false→true), preuve d'indépendance du bit sur les 512 combinaisons, suite complète re-exécutée (696 tests, 0 échec). L'émission RÉELLE sur l'aéronef demeure NON démontrée (SOCCER_2D_REAL_ENABLED=false ; E-03 requis). Voir le tableau détaillé au §0. Les blocs logiciels, l'argument de sécurité, les procédures et le confinement sont les plus avancés (statuts détaillés au tableau du §0 — aucun pourcentage de maturité n'est utilisé) ; les preuves EN VOL et les pièces administratives dépendent d'actions à mener sur le terrain.</w:t>
      </w:r>
    </w:p>
    <w:p>
      <w:pPr>
        <w:pStyle w:val="Heading1"/>
        <w:spacing w:after="140" w:before="200"/>
      </w:pPr>
      <w:r>
        <w:rPr>
          <w:rFonts w:ascii="Calibri" w:cs="Calibri" w:eastAsia="Calibri" w:hAnsi="Calibri"/>
          <w:b/>
          <w:bCs/>
          <w:color w:val="1F3864"/>
        </w:rPr>
        <w:t xml:space="preserve">Page des signatures et approbations</w:t>
      </w:r>
    </w:p>
    <w:p>
      <w:pPr>
        <w:spacing w:after="80" w:line="276"/>
      </w:pPr>
      <w:r>
        <w:rPr>
          <w:rFonts w:ascii="Calibri" w:cs="Calibri" w:eastAsia="Calibri" w:hAnsi="Calibri"/>
          <w:b/>
          <w:bCs/>
          <w:sz w:val="21"/>
          <w:szCs w:val="21"/>
        </w:rPr>
        <w:t xml:space="preserve">Ce dossier n'est déposable qu'une fois signé par les personnes ci-dessous. Aucune signature ne doit être apposée avant que le contenu correspondant soit définitif et véridique. Statut actuel : ÉBAUCHE — non déposable.</w:t>
      </w:r>
    </w:p>
    <w:p>
      <w:pPr>
        <w:spacing w:after="80" w:line="276"/>
      </w:pPr>
      <w:r>
        <w:rPr>
          <w:rFonts w:ascii="Calibri" w:cs="Calibri" w:eastAsia="Calibri" w:hAnsi="Calibri"/>
          <w:b/>
          <w:bCs/>
          <w:sz w:val="21"/>
          <w:szCs w:val="21"/>
        </w:rPr>
        <w:t xml:space="preserve">Signataires requis pour le dépôt :</w:t>
      </w:r>
    </w:p>
    <w:p>
      <w:pPr>
        <w:spacing w:after="20" w:before="120"/>
      </w:pPr>
      <w:r>
        <w:rPr>
          <w:rFonts w:ascii="Calibri" w:hAnsi="Calibri"/>
          <w:b/>
          <w:sz w:val="21"/>
          <w:color w:val="1F3864"/>
        </w:rPr>
        <w:t xml:space="preserve">Auteur du dossier</w:t>
      </w:r>
      <w:r>
        <w:rPr>
          <w:rFonts w:ascii="Calibri" w:hAnsi="Calibri"/>
          <w:i/>
          <w:sz w:val="18"/>
          <w:color w:val="666666"/>
        </w:rPr>
        <w:t xml:space="preserve">  (rédacteur — CineFlight)</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(responsable de l'opération — à désigner)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(OBLIGATOIRE — personne distincte de l'auteur)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Pilote responsable</w:t>
      </w:r>
      <w:r>
        <w:rPr>
          <w:rFonts w:ascii="Calibri" w:hAnsi="Calibri"/>
          <w:i/>
          <w:sz w:val="18"/>
          <w:color w:val="666666"/>
        </w:rPr>
        <w:t xml:space="preserve">  (essais et opération — +1 438 367 6652)</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État des signatures : toutes À OBTENIR. Le réviseur indépendant doit se prononcer sur l'acceptabilité des risques résiduels avant tout dépôt.</w:t>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CF-SC-SOCCER-001 ‹numéro à confirmer par l'exploitant›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 NOTE : la version, la date, le commit et le hash APK sont pilotés depuis CE tableau (source documentaire unique) ; toute divergence ailleurs dans le dossier est une erreur à corriger.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 Git dfd8ce0 + modifications v51 NON COMMISES (retrait obstacleGate de la baseline altitude — COMMIT REQUIS, hash à consigner ici) ; compileSdk 34 / targetSdk 33 / minSdk 24 ; APK RELEASE signé requis pour la baseline opérationnelle (une version debug ne doit pas servir) ; à produire avec : hash SHA-256, version MSDK, firmware drone+RC, version Android, hash des fichiers YOLO, hash du profil terrain, manifeste des dépendances — À CONSIGNER avant l'opération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1.0–41.0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Élaboration progressive (architecture, risques, essais, barrières, ALARP, CONOPS). Détail complet : voir le FICHIER SÉPARÉ « Historique_Versions_CineFlight.docx » (archive de traçabilité, versions 1.0 à 51.0).</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RELECTURE QUALITÉ + 17 tests de plus : cohérence des chiffres corrigée (tableau d'avancement et corps : 620→672 cas de test). Ajout SoccerPhaseTest (10) et SoccerPlayDirectionTest (7). Total 689 cas de test. Vérifié : version homogène, sections §4.2.1 à §4.2.4 sans doublon, chiffres de couverture cohérents.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1-2 : (réglementaire) erreur microdrone corrigée (certificat/immatriculation SANS OBJET &lt;250g), NAV Canada reformulé (créer opération→RPAS Summary), 922.05/06 (déclarations du modèle, sans objet &lt;250g), SFOC multi-opérations, frais confirmés au dépôt. (sécurité) watchdog reclassé BLOQUANT (REQ-WDG-001), hover/RTH 'à démontrer' (E-03), buffer 16,2m requalifié VALEUR PROVISOIRE, buffer vs 30m distingués, fail-open→FAIL-CLOSED JNI, incohérence 15/16,2m levée.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3-4 : (cohérence) nombre de tests unifié à 689 (278 = rapport historique superseded), version résiduelle 27→43, APK debug→RELEASE requis, 'baseline certifié'→'configuration figée (SFOC)'. (ALARP/procédures) FMEA synchronisée (SafetyLimits créée, E-09 validé sol, Emission2DGuard 25 cas), chute de tension reclassée (non gérable par failsafe), seuil batterie 40%=interruption (pas décollage), météo 25 op/28 essai clarifiée, personnel = NOM de personne (pas 'CineFlight'), intrusion = corridor précis par site.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RESTRUCTURATION + ANNEXES : renumérotation PARTIELLE des sous-sections (4.2bis/ter/quater/quinquies → 4.2.1/2/3/4 ; anciennes fiches 6ter/quater → 6.4/6.5 ; 4.0bis/ter/quater → 4.0.2/3/4), renvois mis à jour ; les identifiants 6bis, 6ter, 10ter et 10quater subsistent comme identifiants stables (renumérotation NON terminée). Les 6 pièces annexes (rapport d'essais, fiches d'essai en vol, exercice d'intrusion, couverture des tests, 2 lettres) regroupées dans un RECUEIL DES ANNEXES séparé (A-F). Versions intermédiaires v2-v43 archivées (dossier _archives_versions).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EN FORME (demandes) : ordre chronologique de l'historique corrigé (42-47 croissant) ; bloc de signatures en fin de dossier (Approbation finale) ; colonne des pourcentages retirée du tableau d'avancement (remplacée par 'Nature du reste') ; nouveau plan de confinement conforme (buffer 16,2 m, nord, cotations, échelle) ; notes 'À VÉRIFIER/RÉVISER' converties en 'ÉLÉMENT À FOURNIR PAR L'EXPLOITANT' — les anciennes notes « À VÉRIFIER » sont regroupées sous « ÉLÉMENT À FOURNIR PAR L'EXPLOITANT » ; plusieurs données et preuves demeurent OUVERTES et à compléter avant dépôt.</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48.0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v47 APPLIQUÉ : résidus watchdog/hover/672 corrigés dans tout le corps ; état d'avancement rendu non chiffré (ébauche, blocages ouverts) ; buffer requalifié partout VALEUR PROVISOIRE ; émission réelle distinguée du chemin logique testé ; §4.2 et §9.3 réordonnés ; tableau admin microdrone corrigé. DÉFAUT documentaire : la page de titre et le tableau de contrôle étaient restés à 47.0 (corrigé en v49).</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49.0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v48 APPLIQUÉ : contrôle documentaire unifié (version 49.0 partout, source documentaire unique = tableau de contrôle) ; table des matières générée ; fondement « événement annoncé » qualifié (périmètre cartographié + critère officiel des 30 m des limites de l'événement) ; séquence corrigée SFOC → NAV Drone (analyse d'espace aérien AVANT dépôt ; opération NAV Drone + RPAS Operation Summary APRÈS délivrance, avant chaque opération) ; MANIFESTE RÉEL des preuves logicielles (71 classes / 689 tests / 0 échec, exécution unique du 2026-07-20 ; 278 = rapport historique superseded ; Emission2DGuardTest 25 cas directs) ; formulations hover / « rend la main » / « Virtual Stick coupé » remplacées par des états logiciels à démontrer (E-03/E-12) ; watchdog indépendant réaffirmé BLOQUANT (feuille de route corrigée) ; conclusion buffer réécrite (ni robuste ni défendable ; la mesure peut confirmer, réduire OU augmenter) ; marge forfaitaire 5 m décomposée en termes mesurables ; exigences du plan final listées ; paragraphe JNI réécrit (FAIL-CLOSED, phrase corrigée) ; statut SafetyLimits honnête (migration incomplète, crédit de source unique refusé) ; E-03 défini comme essai de BANC préalable (10 scénarios, configuration figée) ; §9.3 renuméroté en continu (9.3.1-9.3.10) ; champs [EXEMPLE] convertis en « À CONFIRMER PAR L'EXPLOITANT » ; pourcentages de maturité supprimés du corps ; historique 1.0-41.0 déplacé en annexe. BLOCAGES INCHANGÉS : obstacleGateAllows=false, watchdog indépendant, E-03,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50.0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v49 APPLIQUÉ (nettoyage de cohérence) : paragraphe watchdog contradictoire SUPPRIMÉ (texte unique — exigence bloquante, plus de « sûr » ni « amélioration recommandée ») ; fondement événement annoncé HARMONISÉ partout (périmètre cartographié + critère 30 m, scénario conservateur PROVISOIRE — p7/p10) ; NAV Drone = condition de VOL, non de dépôt (p26/p77 corrigées) ; Emission2DGuard 13→25 corrigé (p23 + GSN G1.2) ; rapport JUnit historique 278 DÉPLACÉ EN ANNEXE, §7.4→§7.3 ; preuves RÉELLES jointes (archive Preuves_Tests_Logiciels : 71 rapports JUnit XML + HTML + JaCoCo) ; « Argument de marge », « BUFFER TOTAL ROBUSTE », « LA PLUS pessimiste », « très conservateur » SUPPRIMÉS → BUFFER PROVISOIRE CALCULÉ, tous les termes non mesurés provisoires, la mesure peut confirmer/réduire/AUGMENTER ; §4.2.4 requalifié DÉPISTAGE LATÉRAL PRÉLIMINAIRE (OK → LATÉRAL POSSIBLE — analyse complète requise) ; 10 renvois confinement §4.3→§4.2 corrigés ; décompte procédures corrigé (NEUF d'urgence §9.3.1-9.3.9 + autorité §9.3.10) ; contrats position/altitude renseignés avec les clés MSDK RÉELLES du code (KeyAircraftLocation3D ; KeyAltitude = altitude RELATIVE au décollage, PAS l'AGL) — champs mesurables marqués À MESURER (bloquants) ; héliports reformulés (CFS, circuits, procédure — pas de présomption par distance seule) ; page blanche §2.4 supprimée ; ordre 5.2/5.3 corrigé (renvois inclus) ; 3 en-têtes EXEMPLE convertis ; phrase cassée du résumé réparée ; parenthèse JNI corrigée. BLOCAGES INCHANGÉS : obstacleGateAllows=false, watchdog indépendant, E-03,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51.0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v50 APPLIQUÉ — DÉCISIONS EXPLOITANT : baseline UNIQUE Option A (altitude automatisée seule) ; l'application CONSERVE ses deux modes de suivi (RAIL / 2D TERRAIN), déplacements horizontaux VERROUILLÉS pendant les opérations SFOC. CODE : obstacleGateAllows RETIRÉ PROPREMENT du chemin baseline altitude (paramètre horizontalMotionRequested ; gate = condition dure du seul chemin horizontal) ; preuves refaites — FlightCommandArbiterTest 29 cas (2 preuves exhaustives de 512 : horizontal 1 cas autorisé / altitude 2 cas + indépendance du bit gate), Emission2DGuardTest 26 cas ; suite complète RE-EXÉCUTÉE : 71 classes / 696 tests / 0 échec / ≈ 14,0 s. DOSSIER : blocages ramenés à TROIS (E-03 banc, watchdog indépendant, confinement démontré) ; watchdog fusionné en 3 paragraphes (fonction/limite/exigence ouverte) ; HAZ-17 corrigé (AUCUN crédit failsafe sur perte totale d'alimentation ; résiduel NON accepté avant revue) ; FMEA watchdog SCINDÉE (retard fil actif crédité / gel total NON crédité) ; NC-T2-007 harmonisé avec §5.2 (KeyAircraftLocation3D ; champs mesurables bloquants) ; plage 15-35 m requalifiée RELATIVE AU DÉCOLLAGE (AGL par relevé terrain ; 2 variables distinctes) ; position sujet = cadrage (SANS OBJET sécurité), position pilote = VLOS (ne démontre pas le confinement) ; buffer : « pire cas / majorants / typique » supprimés, MÉTHODE PAR SCÉNARIOS de défaillance introduite (maximum crédible ; somme brute = enveloppe provisoire) ; cases JaCoCo remplies (86,0/71,6/87,0/82,9 — à régénérer sur v51) ; exigences variante RELEASE + extension couverture control ; INDEX des preuves jointes (SHA-256 réel) ; 7.5→7.4 ; réglementaire : §0.1 harmonisé (30 m, provisoire), multi-opérations dans la demande initiale, espace aérien À DÉTERMINER OFFICIELLEMENT, 922.05 selon la masse, délais 30/60 j ouvrables ; HISTORIQUE COMPLET déplacé vers le fichier séparé Historique_Versions_CineFlight.docx. BLOCAGES RESTANTS : E-03, watchdog indépendant, confinement démontré.</w:t>
            </w:r>
          </w:p>
        </w:tc>
      </w:tr>
    </w:tbl>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retenu PROVISOIREMENT (scénario conservateur)</w:t>
      </w:r>
      <w:r>
        <w:rPr>
          <w:rFonts w:ascii="Calibri" w:cs="Calibri" w:eastAsia="Calibri" w:hAnsi="Calibri"/>
          <w:sz w:val="21"/>
          <w:szCs w:val="21"/>
        </w:rPr>
        <w:t xml:space="preserve"> (RAC partie IX ; exigence étendue aux microdrones depuis 2025-04-01, pour un vol à MOINS DE 30 m des limites de l'événement). Le périmètre officiel de l'événement sera cartographié ; le fondement sera confirmé lorsque la distance minimale entre le volume de vol et les limites de l'événement aura été établie.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à confirmer par l'exploitant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ÉLÉMENT À FOURNIR PAR L'EXPLOITANT</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instrText xml:space="preserve">TOC \h \o "1-2"</w:instrText>
            <w:fldChar w:fldCharType="separate"/>
          </w:r>
        </w:p>
        <w:p>
          <w:pPr>
            <w:tabs>
              <w:tab w:val="right" w:leader="dot" w:pos="9350"/>
            </w:tabs>
            <w:spacing w:after="40"/>
          </w:pPr>
          <w:r>
            <w:rPr>
              <w:rFonts w:ascii="Calibri" w:cs="Calibri" w:eastAsia="Calibri" w:hAnsi="Calibri"/>
              <w:b/>
              <w:bCs/>
              <w:sz w:val="19"/>
              <w:szCs w:val="19"/>
            </w:rPr>
            <w:t xml:space="preserve">0. Résumé exécutif</w:t>
          </w:r>
          <w:r>
            <w:tab/>
          </w:r>
          <w:r>
            <w:rPr>
              <w:sz w:val="19"/>
              <w:szCs w:val="19"/>
            </w:rPr>
            <w:t>11</w:t>
          </w:r>
        </w:p>
        <w:p>
          <w:pPr>
            <w:tabs>
              <w:tab w:val="right" w:leader="dot" w:pos="9350"/>
            </w:tabs>
            <w:spacing w:after="40"/>
            <w:ind w:left="240"/>
          </w:pPr>
          <w:r>
            <w:rPr>
              <w:rFonts w:ascii="Calibri" w:cs="Calibri" w:eastAsia="Calibri" w:hAnsi="Calibri"/>
              <w:sz w:val="19"/>
              <w:szCs w:val="19"/>
            </w:rPr>
            <w:t xml:space="preserve">0.1 Cadre réglementaire (synthèse) — quatre analyses distinctes</w:t>
          </w:r>
          <w:r>
            <w:tab/>
          </w:r>
          <w:r>
            <w:rPr>
              <w:sz w:val="19"/>
              <w:szCs w:val="19"/>
            </w:rPr>
            <w:t>11</w:t>
          </w:r>
        </w:p>
        <w:p>
          <w:pPr>
            <w:tabs>
              <w:tab w:val="right" w:leader="dot" w:pos="9350"/>
            </w:tabs>
            <w:spacing w:after="40"/>
            <w:ind w:left="240"/>
          </w:pPr>
          <w:r>
            <w:rPr>
              <w:rFonts w:ascii="Calibri" w:cs="Calibri" w:eastAsia="Calibri" w:hAnsi="Calibri"/>
              <w:sz w:val="19"/>
              <w:szCs w:val="19"/>
            </w:rPr>
            <w:t xml:space="preserve">0.2 État d'avancement (auto-évaluation prudente)</w:t>
          </w:r>
          <w:r>
            <w:tab/>
          </w:r>
          <w:r>
            <w:rPr>
              <w:sz w:val="19"/>
              <w:szCs w:val="19"/>
            </w:rPr>
            <w:t>12</w:t>
          </w:r>
        </w:p>
        <w:p>
          <w:pPr>
            <w:tabs>
              <w:tab w:val="right" w:leader="dot" w:pos="9350"/>
            </w:tabs>
            <w:spacing w:after="40"/>
          </w:pPr>
          <w:r>
            <w:rPr>
              <w:rFonts w:ascii="Calibri" w:cs="Calibri" w:eastAsia="Calibri" w:hAnsi="Calibri"/>
              <w:b/>
              <w:bCs/>
              <w:sz w:val="19"/>
              <w:szCs w:val="19"/>
            </w:rPr>
            <w:t xml:space="preserve">1. Argument de sécurité (Safety Argument)</w:t>
          </w:r>
          <w:r>
            <w:tab/>
          </w:r>
          <w:r>
            <w:rPr>
              <w:sz w:val="19"/>
              <w:szCs w:val="19"/>
            </w:rPr>
            <w:t>14</w:t>
          </w:r>
        </w:p>
        <w:p>
          <w:pPr>
            <w:tabs>
              <w:tab w:val="right" w:leader="dot" w:pos="9350"/>
            </w:tabs>
            <w:spacing w:after="40"/>
            <w:ind w:left="240"/>
          </w:pPr>
          <w:r>
            <w:rPr>
              <w:rFonts w:ascii="Calibri" w:cs="Calibri" w:eastAsia="Calibri" w:hAnsi="Calibri"/>
              <w:sz w:val="19"/>
              <w:szCs w:val="19"/>
            </w:rPr>
            <w:t xml:space="preserve">1.1 Objectif de sécurité principal (G0)</w:t>
          </w:r>
          <w:r>
            <w:tab/>
          </w:r>
          <w:r>
            <w:rPr>
              <w:sz w:val="19"/>
              <w:szCs w:val="19"/>
            </w:rPr>
            <w:t>14</w:t>
          </w:r>
        </w:p>
        <w:p>
          <w:pPr>
            <w:tabs>
              <w:tab w:val="right" w:leader="dot" w:pos="9350"/>
            </w:tabs>
            <w:spacing w:after="40"/>
            <w:ind w:left="240"/>
          </w:pPr>
          <w:r>
            <w:rPr>
              <w:rFonts w:ascii="Calibri" w:cs="Calibri" w:eastAsia="Calibri" w:hAnsi="Calibri"/>
              <w:sz w:val="19"/>
              <w:szCs w:val="19"/>
            </w:rPr>
            <w:t xml:space="preserve">1.2 Décomposition en stratégies, preuves et STATUT</w:t>
          </w:r>
          <w:r>
            <w:tab/>
          </w:r>
          <w:r>
            <w:rPr>
              <w:sz w:val="19"/>
              <w:szCs w:val="19"/>
            </w:rPr>
            <w:t>14</w:t>
          </w:r>
        </w:p>
        <w:p>
          <w:pPr>
            <w:tabs>
              <w:tab w:val="right" w:leader="dot" w:pos="9350"/>
            </w:tabs>
            <w:spacing w:after="40"/>
            <w:ind w:left="240"/>
          </w:pPr>
          <w:r>
            <w:rPr>
              <w:rFonts w:ascii="Calibri" w:cs="Calibri" w:eastAsia="Calibri" w:hAnsi="Calibri"/>
              <w:sz w:val="19"/>
              <w:szCs w:val="19"/>
            </w:rPr>
            <w:t xml:space="preserve">1.3 Hypothèses et limites de l'argument</w:t>
          </w:r>
          <w:r>
            <w:tab/>
          </w:r>
          <w:r>
            <w:rPr>
              <w:sz w:val="19"/>
              <w:szCs w:val="19"/>
            </w:rPr>
            <w:t>15</w:t>
          </w:r>
        </w:p>
        <w:p>
          <w:pPr>
            <w:tabs>
              <w:tab w:val="right" w:leader="dot" w:pos="9350"/>
            </w:tabs>
            <w:spacing w:after="40"/>
          </w:pPr>
          <w:r>
            <w:rPr>
              <w:rFonts w:ascii="Calibri" w:cs="Calibri" w:eastAsia="Calibri" w:hAnsi="Calibri"/>
              <w:b/>
              <w:bCs/>
              <w:sz w:val="19"/>
              <w:szCs w:val="19"/>
            </w:rPr>
            <w:t xml:space="preserve">2. Architecture du système</w:t>
          </w:r>
          <w:r>
            <w:tab/>
          </w:r>
          <w:r>
            <w:rPr>
              <w:sz w:val="19"/>
              <w:szCs w:val="19"/>
            </w:rPr>
            <w:t>16</w:t>
          </w:r>
        </w:p>
        <w:p>
          <w:pPr>
            <w:tabs>
              <w:tab w:val="right" w:leader="dot" w:pos="9350"/>
            </w:tabs>
            <w:spacing w:after="40"/>
            <w:ind w:left="240"/>
          </w:pPr>
          <w:r>
            <w:rPr>
              <w:rFonts w:ascii="Calibri" w:cs="Calibri" w:eastAsia="Calibri" w:hAnsi="Calibri"/>
              <w:sz w:val="19"/>
              <w:szCs w:val="19"/>
            </w:rPr>
            <w:t xml:space="preserve">2.0 Qu'est-ce que YOLO ? (pour lecteurs non spécialistes)</w:t>
          </w:r>
          <w:r>
            <w:tab/>
          </w:r>
          <w:r>
            <w:rPr>
              <w:sz w:val="19"/>
              <w:szCs w:val="19"/>
            </w:rPr>
            <w:t>16</w:t>
          </w:r>
        </w:p>
        <w:p>
          <w:pPr>
            <w:tabs>
              <w:tab w:val="right" w:leader="dot" w:pos="9350"/>
            </w:tabs>
            <w:spacing w:after="40"/>
            <w:ind w:left="240"/>
          </w:pPr>
          <w:r>
            <w:rPr>
              <w:rFonts w:ascii="Calibri" w:cs="Calibri" w:eastAsia="Calibri" w:hAnsi="Calibri"/>
              <w:sz w:val="19"/>
              <w:szCs w:val="19"/>
            </w:rPr>
            <w:t xml:space="preserve">2.1 Chaîne de commande</w:t>
          </w:r>
          <w:r>
            <w:tab/>
          </w:r>
          <w:r>
            <w:rPr>
              <w:sz w:val="19"/>
              <w:szCs w:val="19"/>
            </w:rPr>
            <w:t>16</w:t>
          </w:r>
        </w:p>
        <w:p>
          <w:pPr>
            <w:tabs>
              <w:tab w:val="right" w:leader="dot" w:pos="9350"/>
            </w:tabs>
            <w:spacing w:after="40"/>
            <w:ind w:left="240"/>
          </w:pPr>
          <w:r>
            <w:rPr>
              <w:rFonts w:ascii="Calibri" w:cs="Calibri" w:eastAsia="Calibri" w:hAnsi="Calibri"/>
              <w:sz w:val="19"/>
              <w:szCs w:val="19"/>
            </w:rPr>
            <w:t xml:space="preserve">2.2 Logique de décision de l'arbitre (fail-closed)</w:t>
          </w:r>
          <w:r>
            <w:tab/>
          </w:r>
          <w:r>
            <w:rPr>
              <w:sz w:val="19"/>
              <w:szCs w:val="19"/>
            </w:rPr>
            <w:t>17</w:t>
          </w:r>
        </w:p>
        <w:p>
          <w:pPr>
            <w:tabs>
              <w:tab w:val="right" w:leader="dot" w:pos="9350"/>
            </w:tabs>
            <w:spacing w:after="40"/>
            <w:ind w:left="240"/>
          </w:pPr>
          <w:r>
            <w:rPr>
              <w:rFonts w:ascii="Calibri" w:cs="Calibri" w:eastAsia="Calibri" w:hAnsi="Calibri"/>
              <w:sz w:val="19"/>
              <w:szCs w:val="19"/>
            </w:rPr>
            <w:t xml:space="preserve">2.3 Architecture d'exécution (fils / threads)</w:t>
          </w:r>
          <w:r>
            <w:tab/>
          </w:r>
          <w:r>
            <w:rPr>
              <w:sz w:val="19"/>
              <w:szCs w:val="19"/>
            </w:rPr>
            <w:t>19</w:t>
          </w:r>
        </w:p>
        <w:p>
          <w:pPr>
            <w:tabs>
              <w:tab w:val="right" w:leader="dot" w:pos="9350"/>
            </w:tabs>
            <w:spacing w:after="40"/>
            <w:ind w:left="240"/>
          </w:pPr>
          <w:r>
            <w:rPr>
              <w:rFonts w:ascii="Calibri" w:cs="Calibri" w:eastAsia="Calibri" w:hAnsi="Calibri"/>
              <w:sz w:val="19"/>
              <w:szCs w:val="19"/>
            </w:rPr>
            <w:t xml:space="preserve">2.4 Chronologie d'une image (latence)</w:t>
          </w:r>
          <w:r>
            <w:tab/>
          </w:r>
          <w:r>
            <w:rPr>
              <w:sz w:val="19"/>
              <w:szCs w:val="19"/>
            </w:rPr>
            <w:t>19</w:t>
          </w:r>
        </w:p>
        <w:p>
          <w:pPr>
            <w:tabs>
              <w:tab w:val="right" w:leader="dot" w:pos="9350"/>
            </w:tabs>
            <w:spacing w:after="40"/>
            <w:ind w:left="240"/>
          </w:pPr>
          <w:r>
            <w:rPr>
              <w:rFonts w:ascii="Calibri" w:cs="Calibri" w:eastAsia="Calibri" w:hAnsi="Calibri"/>
              <w:sz w:val="19"/>
              <w:szCs w:val="19"/>
            </w:rPr>
            <w:t xml:space="preserve">2.5 Moniteur de sécurité (Safety Monitor)</w:t>
          </w:r>
          <w:r>
            <w:tab/>
          </w:r>
          <w:r>
            <w:rPr>
              <w:sz w:val="19"/>
              <w:szCs w:val="19"/>
            </w:rPr>
            <w:t>20</w:t>
          </w:r>
        </w:p>
        <w:p>
          <w:pPr>
            <w:tabs>
              <w:tab w:val="right" w:leader="dot" w:pos="9350"/>
            </w:tabs>
            <w:spacing w:after="40"/>
            <w:ind w:left="240"/>
          </w:pPr>
          <w:r>
            <w:rPr>
              <w:rFonts w:ascii="Calibri" w:cs="Calibri" w:eastAsia="Calibri" w:hAnsi="Calibri"/>
              <w:sz w:val="19"/>
              <w:szCs w:val="19"/>
            </w:rPr>
            <w:t xml:space="preserve">2.6 Cybersécurité et sécurité de l'information</w:t>
          </w:r>
          <w:r>
            <w:tab/>
          </w:r>
          <w:r>
            <w:rPr>
              <w:sz w:val="19"/>
              <w:szCs w:val="19"/>
            </w:rPr>
            <w:t>21</w:t>
          </w:r>
        </w:p>
        <w:p>
          <w:pPr>
            <w:tabs>
              <w:tab w:val="right" w:leader="dot" w:pos="9350"/>
            </w:tabs>
            <w:spacing w:after="40"/>
          </w:pPr>
          <w:r>
            <w:rPr>
              <w:rFonts w:ascii="Calibri" w:cs="Calibri" w:eastAsia="Calibri" w:hAnsi="Calibri"/>
              <w:b/>
              <w:bCs/>
              <w:sz w:val="19"/>
              <w:szCs w:val="19"/>
            </w:rPr>
            <w:t xml:space="preserve">3. Analyse fonctionnelle des modules</w:t>
          </w:r>
          <w:r>
            <w:tab/>
          </w:r>
          <w:r>
            <w:rPr>
              <w:sz w:val="19"/>
              <w:szCs w:val="19"/>
            </w:rPr>
            <w:t>22</w:t>
          </w:r>
        </w:p>
        <w:p>
          <w:pPr>
            <w:tabs>
              <w:tab w:val="right" w:leader="dot" w:pos="9350"/>
            </w:tabs>
            <w:spacing w:after="40"/>
            <w:ind w:left="240"/>
          </w:pPr>
          <w:r>
            <w:rPr>
              <w:rFonts w:ascii="Calibri" w:cs="Calibri" w:eastAsia="Calibri" w:hAnsi="Calibri"/>
              <w:sz w:val="19"/>
              <w:szCs w:val="19"/>
            </w:rPr>
            <w:t xml:space="preserve">3.1 SafetySnapshot : 11 champs, 9 conditions décisionnelles</w:t>
          </w:r>
          <w:r>
            <w:tab/>
          </w:r>
          <w:r>
            <w:rPr>
              <w:sz w:val="19"/>
              <w:szCs w:val="19"/>
            </w:rPr>
            <w:t>23</w:t>
          </w:r>
        </w:p>
        <w:p>
          <w:pPr>
            <w:tabs>
              <w:tab w:val="right" w:leader="dot" w:pos="9350"/>
            </w:tabs>
            <w:spacing w:after="40"/>
            <w:ind w:left="240"/>
          </w:pPr>
          <w:r>
            <w:rPr>
              <w:rFonts w:ascii="Calibri" w:cs="Calibri" w:eastAsia="Calibri" w:hAnsi="Calibri"/>
              <w:sz w:val="19"/>
              <w:szCs w:val="19"/>
            </w:rPr>
            <w:t xml:space="preserve">3.2 Cohérence des données inter-fils (snapshot atomique) — IMPLÉMENTÉ (v16)</w:t>
          </w:r>
          <w:r>
            <w:tab/>
          </w:r>
          <w:r>
            <w:rPr>
              <w:sz w:val="19"/>
              <w:szCs w:val="19"/>
            </w:rPr>
            <w:t>24</w:t>
          </w:r>
        </w:p>
        <w:p>
          <w:pPr>
            <w:tabs>
              <w:tab w:val="right" w:leader="dot" w:pos="9350"/>
            </w:tabs>
            <w:spacing w:after="40"/>
            <w:ind w:left="240"/>
          </w:pPr>
          <w:r>
            <w:rPr>
              <w:rFonts w:ascii="Calibri" w:cs="Calibri" w:eastAsia="Calibri" w:hAnsi="Calibri"/>
              <w:sz w:val="19"/>
              <w:szCs w:val="19"/>
            </w:rPr>
            <w:t xml:space="preserve">3.3 Priorité pilote et comportement après cessation des commandes (à démontrer)</w:t>
          </w:r>
          <w:r>
            <w:tab/>
          </w:r>
          <w:r>
            <w:rPr>
              <w:sz w:val="19"/>
              <w:szCs w:val="19"/>
            </w:rPr>
            <w:t>24</w:t>
          </w:r>
        </w:p>
        <w:p>
          <w:pPr>
            <w:tabs>
              <w:tab w:val="right" w:leader="dot" w:pos="9350"/>
            </w:tabs>
            <w:spacing w:after="40"/>
          </w:pPr>
          <w:r>
            <w:rPr>
              <w:rFonts w:ascii="Calibri" w:cs="Calibri" w:eastAsia="Calibri" w:hAnsi="Calibri"/>
              <w:b/>
              <w:bCs/>
              <w:sz w:val="19"/>
              <w:szCs w:val="19"/>
            </w:rPr>
            <w:t xml:space="preserve">4. Concept d'opérations (CONOPS)</w:t>
          </w:r>
          <w:r>
            <w:tab/>
          </w:r>
          <w:r>
            <w:rPr>
              <w:sz w:val="19"/>
              <w:szCs w:val="19"/>
            </w:rPr>
            <w:t>25</w:t>
          </w:r>
        </w:p>
        <w:p>
          <w:pPr>
            <w:tabs>
              <w:tab w:val="right" w:leader="dot" w:pos="9350"/>
            </w:tabs>
            <w:spacing w:after="40"/>
            <w:ind w:left="240"/>
          </w:pPr>
          <w:r>
            <w:rPr>
              <w:rFonts w:ascii="Calibri" w:cs="Calibri" w:eastAsia="Calibri" w:hAnsi="Calibri"/>
              <w:sz w:val="19"/>
              <w:szCs w:val="19"/>
            </w:rPr>
            <w:t xml:space="preserve">4.0 Fiche opérationnelle (résumé de la demande) — NC-001</w:t>
          </w:r>
          <w:r>
            <w:tab/>
          </w:r>
          <w:r>
            <w:rPr>
              <w:sz w:val="19"/>
              <w:szCs w:val="19"/>
            </w:rPr>
            <w:t>25</w:t>
          </w:r>
        </w:p>
        <w:p>
          <w:pPr>
            <w:tabs>
              <w:tab w:val="right" w:leader="dot" w:pos="9350"/>
            </w:tabs>
            <w:spacing w:after="40"/>
            <w:ind w:left="240"/>
          </w:pPr>
          <w:r>
            <w:rPr>
              <w:rFonts w:ascii="Calibri" w:cs="Calibri" w:eastAsia="Calibri" w:hAnsi="Calibri"/>
              <w:sz w:val="19"/>
              <w:szCs w:val="19"/>
            </w:rPr>
            <w:t xml:space="preserve">4.0.2 Paramètres détaillés de l'opération</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4.0.3 Site réel de l'opération (renseigné 2026-07-20)</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4.0.4 Espace aérien — à confirmer par NAV Drone (POINT CRITIQUE)</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4.1 Délimitation du terrain par l'application Web (géorepérage)</w:t>
          </w:r>
          <w:r>
            <w:tab/>
          </w:r>
          <w:r>
            <w:rPr>
              <w:sz w:val="19"/>
              <w:szCs w:val="19"/>
            </w:rPr>
            <w:t>28</w:t>
          </w:r>
        </w:p>
        <w:p>
          <w:pPr>
            <w:tabs>
              <w:tab w:val="right" w:leader="dot" w:pos="9350"/>
            </w:tabs>
            <w:spacing w:after="40"/>
            <w:ind w:left="240"/>
          </w:pPr>
          <w:r>
            <w:rPr>
              <w:rFonts w:ascii="Calibri" w:cs="Calibri" w:eastAsia="Calibri" w:hAnsi="Calibri"/>
              <w:sz w:val="19"/>
              <w:szCs w:val="19"/>
            </w:rPr>
            <w:t xml:space="preserve">4.2 Confinement physique quantifié (buffer de contingence)</w:t>
          </w:r>
          <w:r>
            <w:tab/>
          </w:r>
          <w:r>
            <w:rPr>
              <w:sz w:val="19"/>
              <w:szCs w:val="19"/>
            </w:rPr>
            <w:t>29</w:t>
          </w:r>
        </w:p>
        <w:p>
          <w:pPr>
            <w:tabs>
              <w:tab w:val="right" w:leader="dot" w:pos="9350"/>
            </w:tabs>
            <w:spacing w:after="40"/>
            <w:ind w:left="240"/>
          </w:pPr>
          <w:r>
            <w:rPr>
              <w:rFonts w:ascii="Calibri" w:cs="Calibri" w:eastAsia="Calibri" w:hAnsi="Calibri"/>
              <w:sz w:val="19"/>
              <w:szCs w:val="19"/>
            </w:rPr>
            <w:t xml:space="preserve">4.2.1 Calcul chiffré du buffer de contingence (2026-07-20)</w:t>
          </w:r>
          <w:r>
            <w:tab/>
          </w:r>
          <w:r>
            <w:rPr>
              <w:sz w:val="19"/>
              <w:szCs w:val="19"/>
            </w:rPr>
            <w:t>29</w:t>
          </w:r>
        </w:p>
        <w:p>
          <w:pPr>
            <w:tabs>
              <w:tab w:val="right" w:leader="dot" w:pos="9350"/>
            </w:tabs>
            <w:spacing w:after="40"/>
            <w:ind w:left="240"/>
          </w:pPr>
          <w:r>
            <w:rPr>
              <w:rFonts w:ascii="Calibri" w:cs="Calibri" w:eastAsia="Calibri" w:hAnsi="Calibri"/>
              <w:sz w:val="19"/>
              <w:szCs w:val="19"/>
            </w:rPr>
            <w:t xml:space="preserve">4.2.2 Buffer à vMax verrouillé 2 m/s (renforcement 2026-07-20)</w:t>
          </w:r>
          <w:r>
            <w:tab/>
          </w:r>
          <w:r>
            <w:rPr>
              <w:sz w:val="19"/>
              <w:szCs w:val="19"/>
            </w:rPr>
            <w:t>31</w:t>
          </w:r>
        </w:p>
        <w:p>
          <w:pPr>
            <w:tabs>
              <w:tab w:val="right" w:leader="dot" w:pos="9350"/>
            </w:tabs>
            <w:spacing w:after="40"/>
            <w:ind w:left="240"/>
          </w:pPr>
          <w:r>
            <w:rPr>
              <w:rFonts w:ascii="Calibri" w:cs="Calibri" w:eastAsia="Calibri" w:hAnsi="Calibri"/>
              <w:sz w:val="19"/>
              <w:szCs w:val="19"/>
            </w:rPr>
            <w:t xml:space="preserve">4.2.3 Plan à l'échelle du confinement (schéma 2026-07-20)</w:t>
          </w:r>
          <w:r>
            <w:tab/>
          </w:r>
          <w:r>
            <w:rPr>
              <w:sz w:val="19"/>
              <w:szCs w:val="19"/>
            </w:rPr>
            <w:t>31</w:t>
          </w:r>
        </w:p>
        <w:p>
          <w:pPr>
            <w:tabs>
              <w:tab w:val="right" w:leader="dot" w:pos="9350"/>
            </w:tabs>
            <w:spacing w:after="40"/>
            <w:ind w:left="240"/>
          </w:pPr>
          <w:r>
            <w:rPr>
              <w:rFonts w:ascii="Calibri" w:cs="Calibri" w:eastAsia="Calibri" w:hAnsi="Calibri"/>
              <w:sz w:val="19"/>
              <w:szCs w:val="19"/>
            </w:rPr>
            <w:t xml:space="preserve">4.2.4 Analyse géométrique du site vs buffer (2026-07-20)</w:t>
          </w:r>
          <w:r>
            <w:tab/>
          </w:r>
          <w:r>
            <w:rPr>
              <w:sz w:val="19"/>
              <w:szCs w:val="19"/>
            </w:rPr>
            <w:t>32</w:t>
          </w:r>
        </w:p>
        <w:p>
          <w:pPr>
            <w:tabs>
              <w:tab w:val="right" w:leader="dot" w:pos="9350"/>
            </w:tabs>
            <w:spacing w:after="40"/>
            <w:ind w:left="240"/>
          </w:pPr>
          <w:r>
            <w:rPr>
              <w:rFonts w:ascii="Calibri" w:cs="Calibri" w:eastAsia="Calibri" w:hAnsi="Calibri"/>
              <w:sz w:val="19"/>
              <w:szCs w:val="19"/>
            </w:rPr>
            <w:t xml:space="preserve">4.3 Espace aérien et site</w:t>
          </w:r>
          <w:r>
            <w:tab/>
          </w:r>
          <w:r>
            <w:rPr>
              <w:sz w:val="19"/>
              <w:szCs w:val="19"/>
            </w:rPr>
            <w:t>33</w:t>
          </w:r>
        </w:p>
        <w:p>
          <w:pPr>
            <w:tabs>
              <w:tab w:val="right" w:leader="dot" w:pos="9350"/>
            </w:tabs>
            <w:spacing w:after="40"/>
            <w:ind w:left="240"/>
          </w:pPr>
          <w:r>
            <w:rPr>
              <w:rFonts w:ascii="Calibri" w:cs="Calibri" w:eastAsia="Calibri" w:hAnsi="Calibri"/>
              <w:sz w:val="19"/>
              <w:szCs w:val="19"/>
            </w:rPr>
            <w:t xml:space="preserve">4.4 Spécification de la porte de validation pré-vol (go/no-go)</w:t>
          </w:r>
          <w:r>
            <w:tab/>
          </w:r>
          <w:r>
            <w:rPr>
              <w:sz w:val="19"/>
              <w:szCs w:val="19"/>
            </w:rPr>
            <w:t>34</w:t>
          </w:r>
        </w:p>
        <w:p>
          <w:pPr>
            <w:tabs>
              <w:tab w:val="right" w:leader="dot" w:pos="9350"/>
            </w:tabs>
            <w:spacing w:after="40"/>
          </w:pPr>
          <w:r>
            <w:rPr>
              <w:rFonts w:ascii="Calibri" w:cs="Calibri" w:eastAsia="Calibri" w:hAnsi="Calibri"/>
              <w:b/>
              <w:bCs/>
              <w:sz w:val="19"/>
              <w:szCs w:val="19"/>
            </w:rPr>
            <w:t xml:space="preserve">5. Personnes et admissibilité du RPAS</w:t>
          </w:r>
          <w:r>
            <w:tab/>
          </w:r>
          <w:r>
            <w:rPr>
              <w:sz w:val="19"/>
              <w:szCs w:val="19"/>
            </w:rPr>
            <w:t>36</w:t>
          </w:r>
        </w:p>
        <w:p>
          <w:pPr>
            <w:tabs>
              <w:tab w:val="right" w:leader="dot" w:pos="9350"/>
            </w:tabs>
            <w:spacing w:after="40"/>
            <w:ind w:left="240"/>
          </w:pPr>
          <w:r>
            <w:rPr>
              <w:rFonts w:ascii="Calibri" w:cs="Calibri" w:eastAsia="Calibri" w:hAnsi="Calibri"/>
              <w:sz w:val="19"/>
              <w:szCs w:val="19"/>
            </w:rPr>
            <w:t xml:space="preserve">5.1 Classification des personnes (hypothèse conservatrice)</w:t>
          </w:r>
          <w:r>
            <w:tab/>
          </w:r>
          <w:r>
            <w:rPr>
              <w:sz w:val="19"/>
              <w:szCs w:val="19"/>
            </w:rPr>
            <w:t>36</w:t>
          </w:r>
        </w:p>
        <w:p>
          <w:pPr>
            <w:tabs>
              <w:tab w:val="right" w:leader="dot" w:pos="9350"/>
            </w:tabs>
            <w:spacing w:after="40"/>
            <w:ind w:left="240"/>
          </w:pPr>
          <w:r>
            <w:rPr>
              <w:rFonts w:ascii="Calibri" w:cs="Calibri" w:eastAsia="Calibri" w:hAnsi="Calibri"/>
              <w:sz w:val="19"/>
              <w:szCs w:val="19"/>
            </w:rPr>
            <w:t xml:space="preserve">5.2 Sources de position et critères RTK (par donnée)</w:t>
          </w:r>
          <w:r>
            <w:tab/>
          </w:r>
          <w:r>
            <w:rPr>
              <w:sz w:val="19"/>
              <w:szCs w:val="19"/>
            </w:rPr>
            <w:t>37</w:t>
          </w:r>
        </w:p>
        <w:p>
          <w:pPr>
            <w:tabs>
              <w:tab w:val="right" w:leader="dot" w:pos="9350"/>
            </w:tabs>
            <w:spacing w:after="40"/>
            <w:ind w:left="240"/>
          </w:pPr>
          <w:r>
            <w:rPr>
              <w:rFonts w:ascii="Calibri" w:cs="Calibri" w:eastAsia="Calibri" w:hAnsi="Calibri"/>
              <w:sz w:val="19"/>
              <w:szCs w:val="19"/>
            </w:rPr>
            <w:t xml:space="preserve">5.3 Admissibilité du drone</w:t>
          </w:r>
          <w:r>
            <w:tab/>
          </w:r>
          <w:r>
            <w:rPr>
              <w:sz w:val="19"/>
              <w:szCs w:val="19"/>
            </w:rPr>
            <w:t>37</w:t>
          </w:r>
        </w:p>
        <w:p>
          <w:pPr>
            <w:tabs>
              <w:tab w:val="right" w:leader="dot" w:pos="9350"/>
            </w:tabs>
            <w:spacing w:after="40"/>
            <w:ind w:left="240"/>
          </w:pPr>
          <w:r>
            <w:rPr>
              <w:rFonts w:ascii="Calibri" w:cs="Calibri" w:eastAsia="Calibri" w:hAnsi="Calibri"/>
              <w:sz w:val="19"/>
              <w:szCs w:val="19"/>
            </w:rPr>
            <w:t xml:space="preserve">5.4 Rôles, responsabilités et autorités (NC-004)</w:t>
          </w:r>
          <w:r>
            <w:tab/>
          </w:r>
          <w:r>
            <w:rPr>
              <w:sz w:val="19"/>
              <w:szCs w:val="19"/>
            </w:rPr>
            <w:t>39</w:t>
          </w:r>
        </w:p>
        <w:p>
          <w:pPr>
            <w:tabs>
              <w:tab w:val="right" w:leader="dot" w:pos="9350"/>
            </w:tabs>
            <w:spacing w:after="40"/>
            <w:ind w:left="240"/>
          </w:pPr>
          <w:r>
            <w:rPr>
              <w:rFonts w:ascii="Calibri" w:cs="Calibri" w:eastAsia="Calibri" w:hAnsi="Calibri"/>
              <w:sz w:val="19"/>
              <w:szCs w:val="19"/>
            </w:rPr>
            <w:t xml:space="preserve">5.5 Suivi des autorisations (NC-006)</w:t>
          </w:r>
          <w:r>
            <w:tab/>
          </w:r>
          <w:r>
            <w:rPr>
              <w:sz w:val="19"/>
              <w:szCs w:val="19"/>
            </w:rPr>
            <w:t>39</w:t>
          </w:r>
        </w:p>
        <w:p>
          <w:pPr>
            <w:tabs>
              <w:tab w:val="right" w:leader="dot" w:pos="9350"/>
            </w:tabs>
            <w:spacing w:after="40"/>
            <w:ind w:left="240"/>
          </w:pPr>
          <w:r>
            <w:rPr>
              <w:rFonts w:ascii="Calibri" w:cs="Calibri" w:eastAsia="Calibri" w:hAnsi="Calibri"/>
              <w:sz w:val="19"/>
              <w:szCs w:val="19"/>
            </w:rPr>
            <w:t xml:space="preserve">5.6 Assurance (NC-007)</w:t>
          </w:r>
          <w:r>
            <w:tab/>
          </w:r>
          <w:r>
            <w:rPr>
              <w:sz w:val="19"/>
              <w:szCs w:val="19"/>
            </w:rPr>
            <w:t>39</w:t>
          </w:r>
        </w:p>
        <w:p>
          <w:pPr>
            <w:tabs>
              <w:tab w:val="right" w:leader="dot" w:pos="9350"/>
            </w:tabs>
            <w:spacing w:after="40"/>
          </w:pPr>
          <w:r>
            <w:rPr>
              <w:rFonts w:ascii="Calibri" w:cs="Calibri" w:eastAsia="Calibri" w:hAnsi="Calibri"/>
              <w:b/>
              <w:bCs/>
              <w:sz w:val="19"/>
              <w:szCs w:val="19"/>
            </w:rPr>
            <w:t xml:space="preserve">6. Registre des risques étendu</w:t>
          </w:r>
          <w:r>
            <w:tab/>
          </w:r>
          <w:r>
            <w:rPr>
              <w:sz w:val="19"/>
              <w:szCs w:val="19"/>
            </w:rPr>
            <w:t>41</w:t>
          </w:r>
        </w:p>
        <w:p>
          <w:pPr>
            <w:tabs>
              <w:tab w:val="right" w:leader="dot" w:pos="9350"/>
            </w:tabs>
            <w:spacing w:after="40"/>
            <w:ind w:left="240"/>
          </w:pPr>
          <w:r>
            <w:rPr>
              <w:rFonts w:ascii="Calibri" w:cs="Calibri" w:eastAsia="Calibri" w:hAnsi="Calibri"/>
              <w:sz w:val="19"/>
              <w:szCs w:val="19"/>
            </w:rPr>
            <w:t xml:space="preserve">6.0 Matrice d'acceptation et démarche ALARP</w:t>
          </w:r>
          <w:r>
            <w:tab/>
          </w:r>
          <w:r>
            <w:rPr>
              <w:sz w:val="19"/>
              <w:szCs w:val="19"/>
            </w:rPr>
            <w:t>41</w:t>
          </w:r>
        </w:p>
        <w:p>
          <w:pPr>
            <w:tabs>
              <w:tab w:val="right" w:leader="dot" w:pos="9350"/>
            </w:tabs>
            <w:spacing w:after="40"/>
            <w:ind w:left="240"/>
          </w:pPr>
          <w:r>
            <w:rPr>
              <w:rFonts w:ascii="Calibri" w:cs="Calibri" w:eastAsia="Calibri" w:hAnsi="Calibri"/>
              <w:sz w:val="19"/>
              <w:szCs w:val="19"/>
            </w:rPr>
            <w:t xml:space="preserve">6.4 Fiches ALARP des dangers ÉLEVÉS (finalisation 2026-07-20)</w:t>
          </w:r>
          <w:r>
            <w:tab/>
          </w:r>
          <w:r>
            <w:rPr>
              <w:sz w:val="19"/>
              <w:szCs w:val="19"/>
            </w:rPr>
            <w:t>45</w:t>
          </w:r>
        </w:p>
        <w:p>
          <w:pPr>
            <w:tabs>
              <w:tab w:val="right" w:leader="dot" w:pos="9350"/>
            </w:tabs>
            <w:spacing w:after="40"/>
            <w:ind w:left="240"/>
          </w:pPr>
          <w:r>
            <w:rPr>
              <w:rFonts w:ascii="Calibri" w:cs="Calibri" w:eastAsia="Calibri" w:hAnsi="Calibri"/>
              <w:sz w:val="19"/>
              <w:szCs w:val="19"/>
            </w:rPr>
            <w:t xml:space="preserve">6.5 Mini-fiches ALARP des dangers MOYENS (5-9)</w:t>
          </w:r>
          <w:r>
            <w:tab/>
          </w:r>
          <w:r>
            <w:rPr>
              <w:sz w:val="19"/>
              <w:szCs w:val="19"/>
            </w:rPr>
            <w:t>46</w:t>
          </w:r>
        </w:p>
        <w:p>
          <w:pPr>
            <w:tabs>
              <w:tab w:val="right" w:leader="dot" w:pos="9350"/>
            </w:tabs>
            <w:spacing w:after="40"/>
          </w:pPr>
          <w:r>
            <w:rPr>
              <w:rFonts w:ascii="Calibri" w:cs="Calibri" w:eastAsia="Calibri" w:hAnsi="Calibri"/>
              <w:b/>
              <w:bCs/>
              <w:sz w:val="19"/>
              <w:szCs w:val="19"/>
            </w:rPr>
            <w:t xml:space="preserve">6bis. Analyse des modes de défaillance (FMEA) étendue</w:t>
          </w:r>
          <w:r>
            <w:tab/>
          </w:r>
          <w:r>
            <w:rPr>
              <w:sz w:val="19"/>
              <w:szCs w:val="19"/>
            </w:rPr>
            <w:t>47</w:t>
          </w:r>
        </w:p>
        <w:p>
          <w:pPr>
            <w:tabs>
              <w:tab w:val="right" w:leader="dot" w:pos="9350"/>
            </w:tabs>
            <w:spacing w:after="40"/>
          </w:pPr>
          <w:r>
            <w:rPr>
              <w:rFonts w:ascii="Calibri" w:cs="Calibri" w:eastAsia="Calibri" w:hAnsi="Calibri"/>
              <w:b/>
              <w:bCs/>
              <w:sz w:val="19"/>
              <w:szCs w:val="19"/>
            </w:rPr>
            <w:t xml:space="preserve">6ter. Matrice de traçabilité</w:t>
          </w:r>
          <w:r>
            <w:tab/>
          </w:r>
          <w:r>
            <w:rPr>
              <w:sz w:val="19"/>
              <w:szCs w:val="19"/>
            </w:rPr>
            <w:t>49</w:t>
          </w:r>
        </w:p>
        <w:p>
          <w:pPr>
            <w:tabs>
              <w:tab w:val="right" w:leader="dot" w:pos="9350"/>
            </w:tabs>
            <w:spacing w:after="40"/>
          </w:pPr>
          <w:r>
            <w:rPr>
              <w:rFonts w:ascii="Calibri" w:cs="Calibri" w:eastAsia="Calibri" w:hAnsi="Calibri"/>
              <w:b/>
              <w:bCs/>
              <w:sz w:val="19"/>
              <w:szCs w:val="19"/>
            </w:rPr>
            <w:t xml:space="preserve">7. Preuves logicielles (résultats réels)</w:t>
          </w:r>
          <w:r>
            <w:tab/>
          </w:r>
          <w:r>
            <w:rPr>
              <w:sz w:val="19"/>
              <w:szCs w:val="19"/>
            </w:rPr>
            <w:t>51</w:t>
          </w:r>
        </w:p>
        <w:p>
          <w:pPr>
            <w:tabs>
              <w:tab w:val="right" w:leader="dot" w:pos="9350"/>
            </w:tabs>
            <w:spacing w:after="40"/>
            <w:ind w:left="240"/>
          </w:pPr>
          <w:r>
            <w:rPr>
              <w:rFonts w:ascii="Calibri" w:cs="Calibri" w:eastAsia="Calibri" w:hAnsi="Calibri"/>
              <w:sz w:val="19"/>
              <w:szCs w:val="19"/>
            </w:rPr>
            <w:t xml:space="preserve">7.1 Manifeste des preuves logicielles (exécution réelle)</w:t>
          </w:r>
          <w:r>
            <w:tab/>
          </w:r>
          <w:r>
            <w:rPr>
              <w:sz w:val="19"/>
              <w:szCs w:val="19"/>
            </w:rPr>
            <w:t>51</w:t>
          </w:r>
        </w:p>
        <w:p>
          <w:pPr>
            <w:tabs>
              <w:tab w:val="right" w:leader="dot" w:pos="9350"/>
            </w:tabs>
            <w:spacing w:after="40"/>
            <w:ind w:left="240"/>
          </w:pPr>
          <w:r>
            <w:rPr>
              <w:rFonts w:ascii="Calibri" w:cs="Calibri" w:eastAsia="Calibri" w:hAnsi="Calibri"/>
              <w:sz w:val="19"/>
              <w:szCs w:val="19"/>
            </w:rPr>
            <w:t xml:space="preserve">7.2 Preuves de sécurité clés</w:t>
          </w:r>
          <w:r>
            <w:tab/>
          </w:r>
          <w:r>
            <w:rPr>
              <w:sz w:val="19"/>
              <w:szCs w:val="19"/>
            </w:rPr>
            <w:t>52</w:t>
          </w:r>
        </w:p>
        <w:p>
          <w:pPr>
            <w:tabs>
              <w:tab w:val="right" w:leader="dot" w:pos="9350"/>
            </w:tabs>
            <w:spacing w:after="40"/>
            <w:ind w:left="240"/>
          </w:pPr>
          <w:r>
            <w:rPr>
              <w:rFonts w:ascii="Calibri" w:cs="Calibri" w:eastAsia="Calibri" w:hAnsi="Calibri"/>
              <w:sz w:val="19"/>
              <w:szCs w:val="19"/>
            </w:rPr>
            <w:t xml:space="preserve">7.3 Couverture de code (JaCoCo)</w:t>
          </w:r>
          <w:r>
            <w:tab/>
          </w:r>
          <w:r>
            <w:rPr>
              <w:sz w:val="19"/>
              <w:szCs w:val="19"/>
            </w:rPr>
            <w:t>52</w:t>
          </w:r>
        </w:p>
        <w:p>
          <w:pPr>
            <w:tabs>
              <w:tab w:val="right" w:leader="dot" w:pos="9350"/>
            </w:tabs>
            <w:spacing w:after="40"/>
            <w:ind w:left="240"/>
          </w:pPr>
          <w:r>
            <w:rPr>
              <w:rFonts w:ascii="Calibri" w:cs="Calibri" w:eastAsia="Calibri" w:hAnsi="Calibri"/>
              <w:sz w:val="19"/>
              <w:szCs w:val="19"/>
            </w:rPr>
            <w:t xml:space="preserve">7.4 Sécurité de l'information (état actuel)</w:t>
          </w:r>
          <w:r>
            <w:tab/>
          </w:r>
          <w:r>
            <w:rPr>
              <w:sz w:val="19"/>
              <w:szCs w:val="19"/>
            </w:rPr>
            <w:t>53</w:t>
          </w:r>
        </w:p>
        <w:p>
          <w:pPr>
            <w:tabs>
              <w:tab w:val="right" w:leader="dot" w:pos="9350"/>
            </w:tabs>
            <w:spacing w:after="40"/>
          </w:pPr>
          <w:r>
            <w:rPr>
              <w:rFonts w:ascii="Calibri" w:cs="Calibri" w:eastAsia="Calibri" w:hAnsi="Calibri"/>
              <w:b/>
              <w:bCs/>
              <w:sz w:val="19"/>
              <w:szCs w:val="19"/>
            </w:rPr>
            <w:t xml:space="preserve">8. Plan d'essais terrain et mesures quantitatives</w:t>
          </w:r>
          <w:r>
            <w:tab/>
          </w:r>
          <w:r>
            <w:rPr>
              <w:sz w:val="19"/>
              <w:szCs w:val="19"/>
            </w:rPr>
            <w:t>54</w:t>
          </w:r>
        </w:p>
        <w:p>
          <w:pPr>
            <w:tabs>
              <w:tab w:val="right" w:leader="dot" w:pos="9350"/>
            </w:tabs>
            <w:spacing w:after="40"/>
            <w:ind w:left="240"/>
          </w:pPr>
          <w:r>
            <w:rPr>
              <w:rFonts w:ascii="Calibri" w:cs="Calibri" w:eastAsia="Calibri" w:hAnsi="Calibri"/>
              <w:sz w:val="19"/>
              <w:szCs w:val="19"/>
            </w:rPr>
            <w:t xml:space="preserve">8.1 Essais matériels et terrain (critères réussite/échec)</w:t>
          </w:r>
          <w:r>
            <w:tab/>
          </w:r>
          <w:r>
            <w:rPr>
              <w:sz w:val="19"/>
              <w:szCs w:val="19"/>
            </w:rPr>
            <w:t>54</w:t>
          </w:r>
        </w:p>
        <w:p>
          <w:pPr>
            <w:tabs>
              <w:tab w:val="right" w:leader="dot" w:pos="9350"/>
            </w:tabs>
            <w:spacing w:after="40"/>
            <w:ind w:left="240"/>
          </w:pPr>
          <w:r>
            <w:rPr>
              <w:rFonts w:ascii="Calibri" w:cs="Calibri" w:eastAsia="Calibri" w:hAnsi="Calibri"/>
              <w:sz w:val="19"/>
              <w:szCs w:val="19"/>
            </w:rPr>
            <w:t xml:space="preserve">8.2 Mesures quantitatives à réaliser (gabarit)</w:t>
          </w:r>
          <w:r>
            <w:tab/>
          </w:r>
          <w:r>
            <w:rPr>
              <w:sz w:val="19"/>
              <w:szCs w:val="19"/>
            </w:rPr>
            <w:t>54</w:t>
          </w:r>
        </w:p>
        <w:p>
          <w:pPr>
            <w:tabs>
              <w:tab w:val="right" w:leader="dot" w:pos="9350"/>
            </w:tabs>
            <w:spacing w:after="40"/>
          </w:pPr>
          <w:r>
            <w:rPr>
              <w:rFonts w:ascii="Calibri" w:cs="Calibri" w:eastAsia="Calibri" w:hAnsi="Calibri"/>
              <w:b/>
              <w:bCs/>
              <w:sz w:val="19"/>
              <w:szCs w:val="19"/>
            </w:rPr>
            <w:t xml:space="preserve">9. Procédures opérationnelles</w:t>
          </w:r>
          <w:r>
            <w:tab/>
          </w:r>
          <w:r>
            <w:rPr>
              <w:sz w:val="19"/>
              <w:szCs w:val="19"/>
            </w:rPr>
            <w:t>56</w:t>
          </w:r>
        </w:p>
        <w:p>
          <w:pPr>
            <w:tabs>
              <w:tab w:val="right" w:leader="dot" w:pos="9350"/>
            </w:tabs>
            <w:spacing w:after="40"/>
            <w:ind w:left="240"/>
          </w:pPr>
          <w:r>
            <w:rPr>
              <w:rFonts w:ascii="Calibri" w:cs="Calibri" w:eastAsia="Calibri" w:hAnsi="Calibri"/>
              <w:sz w:val="19"/>
              <w:szCs w:val="19"/>
            </w:rPr>
            <w:t xml:space="preserve">9.1 Avant le vol</w:t>
          </w:r>
          <w:r>
            <w:tab/>
          </w:r>
          <w:r>
            <w:rPr>
              <w:sz w:val="19"/>
              <w:szCs w:val="19"/>
            </w:rPr>
            <w:t>56</w:t>
          </w:r>
        </w:p>
        <w:p>
          <w:pPr>
            <w:tabs>
              <w:tab w:val="right" w:leader="dot" w:pos="9350"/>
            </w:tabs>
            <w:spacing w:after="40"/>
            <w:ind w:left="240"/>
          </w:pPr>
          <w:r>
            <w:rPr>
              <w:rFonts w:ascii="Calibri" w:cs="Calibri" w:eastAsia="Calibri" w:hAnsi="Calibri"/>
              <w:sz w:val="19"/>
              <w:szCs w:val="19"/>
            </w:rPr>
            <w:t xml:space="preserve">9.2 Pendant le vol</w:t>
          </w:r>
          <w:r>
            <w:tab/>
          </w:r>
          <w:r>
            <w:rPr>
              <w:sz w:val="19"/>
              <w:szCs w:val="19"/>
            </w:rPr>
            <w:t>56</w:t>
          </w:r>
        </w:p>
        <w:p>
          <w:pPr>
            <w:tabs>
              <w:tab w:val="right" w:leader="dot" w:pos="9350"/>
            </w:tabs>
            <w:spacing w:after="40"/>
            <w:ind w:left="240"/>
          </w:pPr>
          <w:r>
            <w:rPr>
              <w:rFonts w:ascii="Calibri" w:cs="Calibri" w:eastAsia="Calibri" w:hAnsi="Calibri"/>
              <w:sz w:val="19"/>
              <w:szCs w:val="19"/>
            </w:rPr>
            <w:t xml:space="preserve">9.3 Procédures d'urgence (étapes numérotées)</w:t>
          </w:r>
          <w:r>
            <w:tab/>
          </w:r>
          <w:r>
            <w:rPr>
              <w:sz w:val="19"/>
              <w:szCs w:val="19"/>
            </w:rPr>
            <w:t>56</w:t>
          </w:r>
        </w:p>
        <w:p>
          <w:pPr>
            <w:tabs>
              <w:tab w:val="right" w:leader="dot" w:pos="9350"/>
            </w:tabs>
            <w:spacing w:after="40"/>
          </w:pPr>
          <w:r>
            <w:rPr>
              <w:rFonts w:ascii="Calibri" w:cs="Calibri" w:eastAsia="Calibri" w:hAnsi="Calibri"/>
              <w:b/>
              <w:bCs/>
              <w:sz w:val="19"/>
              <w:szCs w:val="19"/>
            </w:rPr>
            <w:t xml:space="preserve">10. Pièces administratives (check-list de dépôt)</w:t>
          </w:r>
          <w:r>
            <w:tab/>
          </w:r>
          <w:r>
            <w:rPr>
              <w:sz w:val="19"/>
              <w:szCs w:val="19"/>
            </w:rPr>
            <w:t>59</w:t>
          </w:r>
        </w:p>
        <w:p>
          <w:pPr>
            <w:tabs>
              <w:tab w:val="right" w:leader="dot" w:pos="9350"/>
            </w:tabs>
            <w:spacing w:after="40"/>
            <w:ind w:left="240"/>
          </w:pPr>
          <w:r>
            <w:rPr>
              <w:rFonts w:ascii="Calibri" w:cs="Calibri" w:eastAsia="Calibri" w:hAnsi="Calibri"/>
              <w:sz w:val="19"/>
              <w:szCs w:val="19"/>
            </w:rPr>
            <w:t xml:space="preserve">10.1 Deux rapports distincts</w:t>
          </w:r>
          <w:r>
            <w:tab/>
          </w:r>
          <w:r>
            <w:rPr>
              <w:sz w:val="19"/>
              <w:szCs w:val="19"/>
            </w:rPr>
            <w:t>60</w:t>
          </w:r>
        </w:p>
        <w:p>
          <w:pPr>
            <w:tabs>
              <w:tab w:val="right" w:leader="dot" w:pos="9350"/>
            </w:tabs>
            <w:spacing w:after="40"/>
          </w:pPr>
          <w:r>
            <w:rPr>
              <w:rFonts w:ascii="Calibri" w:cs="Calibri" w:eastAsia="Calibri" w:hAnsi="Calibri"/>
              <w:b/>
              <w:bCs/>
              <w:sz w:val="19"/>
              <w:szCs w:val="19"/>
            </w:rPr>
            <w:t xml:space="preserve">10bis. Glossaire et terminologie (NC-008)</w:t>
          </w:r>
          <w:r>
            <w:tab/>
          </w:r>
          <w:r>
            <w:rPr>
              <w:sz w:val="19"/>
              <w:szCs w:val="19"/>
            </w:rPr>
            <w:t>61</w:t>
          </w:r>
        </w:p>
        <w:p>
          <w:pPr>
            <w:tabs>
              <w:tab w:val="right" w:leader="dot" w:pos="9350"/>
            </w:tabs>
            <w:spacing w:after="40"/>
          </w:pPr>
          <w:r>
            <w:rPr>
              <w:rFonts w:ascii="Calibri" w:cs="Calibri" w:eastAsia="Calibri" w:hAnsi="Calibri"/>
              <w:b/>
              <w:bCs/>
              <w:sz w:val="19"/>
              <w:szCs w:val="19"/>
            </w:rPr>
            <w:t xml:space="preserve">10ter. Architecture technique — jonctions réelles (Tome 2)</w:t>
          </w:r>
          <w:r>
            <w:tab/>
          </w:r>
          <w:r>
            <w:rPr>
              <w:sz w:val="19"/>
              <w:szCs w:val="19"/>
            </w:rPr>
            <w:t>62</w:t>
          </w:r>
        </w:p>
        <w:p>
          <w:pPr>
            <w:tabs>
              <w:tab w:val="right" w:leader="dot" w:pos="9350"/>
            </w:tabs>
            <w:spacing w:after="40"/>
            <w:ind w:left="240"/>
          </w:pPr>
          <w:r>
            <w:rPr>
              <w:rFonts w:ascii="Calibri" w:cs="Calibri" w:eastAsia="Calibri" w:hAnsi="Calibri"/>
              <w:sz w:val="19"/>
              <w:szCs w:val="19"/>
            </w:rPr>
            <w:t xml:space="preserve">10ter.1 État des jonctions (NC-T2)</w:t>
          </w:r>
          <w:r>
            <w:tab/>
          </w:r>
          <w:r>
            <w:rPr>
              <w:sz w:val="19"/>
              <w:szCs w:val="19"/>
            </w:rPr>
            <w:t>62</w:t>
          </w:r>
        </w:p>
        <w:p>
          <w:pPr>
            <w:tabs>
              <w:tab w:val="right" w:leader="dot" w:pos="9350"/>
            </w:tabs>
            <w:spacing w:after="40"/>
            <w:ind w:left="240"/>
          </w:pPr>
          <w:r>
            <w:rPr>
              <w:rFonts w:ascii="Calibri" w:cs="Calibri" w:eastAsia="Calibri" w:hAnsi="Calibri"/>
              <w:sz w:val="19"/>
              <w:szCs w:val="19"/>
            </w:rPr>
            <w:t xml:space="preserve">10ter.2 Contrats de données (entrées critiques)</w:t>
          </w:r>
          <w:r>
            <w:tab/>
          </w:r>
          <w:r>
            <w:rPr>
              <w:sz w:val="19"/>
              <w:szCs w:val="19"/>
            </w:rPr>
            <w:t>63</w:t>
          </w:r>
        </w:p>
        <w:p>
          <w:pPr>
            <w:tabs>
              <w:tab w:val="right" w:leader="dot" w:pos="9350"/>
            </w:tabs>
            <w:spacing w:after="40"/>
            <w:ind w:left="240"/>
          </w:pPr>
          <w:r>
            <w:rPr>
              <w:rFonts w:ascii="Calibri" w:cs="Calibri" w:eastAsia="Calibri" w:hAnsi="Calibri"/>
              <w:sz w:val="19"/>
              <w:szCs w:val="19"/>
            </w:rPr>
            <w:t xml:space="preserve">10ter.3 Source unique de configuration (SafetyLimits) — NC-T2-019/022</w:t>
          </w:r>
          <w:r>
            <w:tab/>
          </w:r>
          <w:r>
            <w:rPr>
              <w:sz w:val="19"/>
              <w:szCs w:val="19"/>
            </w:rPr>
            <w:t>64</w:t>
          </w:r>
        </w:p>
        <w:p>
          <w:pPr>
            <w:tabs>
              <w:tab w:val="right" w:leader="dot" w:pos="9350"/>
            </w:tabs>
            <w:spacing w:after="40"/>
            <w:ind w:left="240"/>
          </w:pPr>
          <w:r>
            <w:rPr>
              <w:rFonts w:ascii="Calibri" w:cs="Calibri" w:eastAsia="Calibri" w:hAnsi="Calibri"/>
              <w:sz w:val="19"/>
              <w:szCs w:val="19"/>
            </w:rPr>
            <w:t xml:space="preserve">10ter.4 Chaîne image et intégration JNI — NC-T2-008</w:t>
          </w:r>
          <w:r>
            <w:tab/>
          </w:r>
          <w:r>
            <w:rPr>
              <w:sz w:val="19"/>
              <w:szCs w:val="19"/>
            </w:rPr>
            <w:t>64</w:t>
          </w:r>
        </w:p>
        <w:p>
          <w:pPr>
            <w:tabs>
              <w:tab w:val="right" w:leader="dot" w:pos="9350"/>
            </w:tabs>
            <w:spacing w:after="40"/>
            <w:ind w:left="240"/>
          </w:pPr>
          <w:r>
            <w:rPr>
              <w:rFonts w:ascii="Calibri" w:cs="Calibri" w:eastAsia="Calibri" w:hAnsi="Calibri"/>
              <w:sz w:val="19"/>
              <w:szCs w:val="19"/>
            </w:rPr>
            <w:t xml:space="preserve">10ter.4.1 Ce que garantissent les tests de sécurité (explication)</w:t>
          </w:r>
          <w:r>
            <w:tab/>
          </w:r>
          <w:r>
            <w:rPr>
              <w:sz w:val="19"/>
              <w:szCs w:val="19"/>
            </w:rPr>
            <w:t>65</w:t>
          </w:r>
        </w:p>
        <w:p>
          <w:pPr>
            <w:tabs>
              <w:tab w:val="right" w:leader="dot" w:pos="9350"/>
            </w:tabs>
            <w:spacing w:after="40"/>
            <w:ind w:left="240"/>
          </w:pPr>
          <w:r>
            <w:rPr>
              <w:rFonts w:ascii="Calibri" w:cs="Calibri" w:eastAsia="Calibri" w:hAnsi="Calibri"/>
              <w:sz w:val="19"/>
              <w:szCs w:val="19"/>
            </w:rPr>
            <w:t xml:space="preserve">10ter.5 Fréquence, threads et watchdog — NC-T2-005/014</w:t>
          </w:r>
          <w:r>
            <w:tab/>
          </w:r>
          <w:r>
            <w:rPr>
              <w:sz w:val="19"/>
              <w:szCs w:val="19"/>
            </w:rPr>
            <w:t>66</w:t>
          </w:r>
        </w:p>
        <w:p>
          <w:pPr>
            <w:tabs>
              <w:tab w:val="right" w:leader="dot" w:pos="9350"/>
            </w:tabs>
            <w:spacing w:after="40"/>
            <w:ind w:left="240"/>
          </w:pPr>
          <w:r>
            <w:rPr>
              <w:rFonts w:ascii="Calibri" w:cs="Calibri" w:eastAsia="Calibri" w:hAnsi="Calibri"/>
              <w:sz w:val="19"/>
              <w:szCs w:val="19"/>
            </w:rPr>
            <w:t xml:space="preserve">10ter.6 Identifiants d'exigences (extrait) — NC-T2-021</w:t>
          </w:r>
          <w:r>
            <w:tab/>
          </w:r>
          <w:r>
            <w:rPr>
              <w:sz w:val="19"/>
              <w:szCs w:val="19"/>
            </w:rPr>
            <w:t>67</w:t>
          </w:r>
        </w:p>
        <w:p>
          <w:pPr>
            <w:tabs>
              <w:tab w:val="right" w:leader="dot" w:pos="9350"/>
            </w:tabs>
            <w:spacing w:after="40"/>
          </w:pPr>
          <w:r>
            <w:rPr>
              <w:rFonts w:ascii="Calibri" w:cs="Calibri" w:eastAsia="Calibri" w:hAnsi="Calibri"/>
              <w:b/>
              <w:bCs/>
              <w:sz w:val="19"/>
              <w:szCs w:val="19"/>
            </w:rPr>
            <w:t xml:space="preserve">10quater. Safety Case formel (Tome 3)</w:t>
          </w:r>
          <w:r>
            <w:tab/>
          </w:r>
          <w:r>
            <w:rPr>
              <w:sz w:val="19"/>
              <w:szCs w:val="19"/>
            </w:rPr>
            <w:t>68</w:t>
          </w:r>
        </w:p>
        <w:p>
          <w:pPr>
            <w:tabs>
              <w:tab w:val="right" w:leader="dot" w:pos="9350"/>
            </w:tabs>
            <w:spacing w:after="40"/>
            <w:ind w:left="240"/>
          </w:pPr>
          <w:r>
            <w:rPr>
              <w:rFonts w:ascii="Calibri" w:cs="Calibri" w:eastAsia="Calibri" w:hAnsi="Calibri"/>
              <w:sz w:val="19"/>
              <w:szCs w:val="19"/>
            </w:rPr>
            <w:t xml:space="preserve">S.1 Objectif de sécurité G0 — statut OUVERT (NC-T3-001)</w:t>
          </w:r>
          <w:r>
            <w:tab/>
          </w:r>
          <w:r>
            <w:rPr>
              <w:sz w:val="19"/>
              <w:szCs w:val="19"/>
            </w:rPr>
            <w:t>68</w:t>
          </w:r>
        </w:p>
        <w:p>
          <w:pPr>
            <w:tabs>
              <w:tab w:val="right" w:leader="dot" w:pos="9350"/>
            </w:tabs>
            <w:spacing w:after="40"/>
            <w:ind w:left="240"/>
          </w:pPr>
          <w:r>
            <w:rPr>
              <w:rFonts w:ascii="Calibri" w:cs="Calibri" w:eastAsia="Calibri" w:hAnsi="Calibri"/>
              <w:sz w:val="19"/>
              <w:szCs w:val="19"/>
            </w:rPr>
            <w:t xml:space="preserve">S.2 Arbre GSN et statut par nœud (NC-T3-002)</w:t>
          </w:r>
          <w:r>
            <w:tab/>
          </w:r>
          <w:r>
            <w:rPr>
              <w:sz w:val="19"/>
              <w:szCs w:val="19"/>
            </w:rPr>
            <w:t>68</w:t>
          </w:r>
        </w:p>
        <w:p>
          <w:pPr>
            <w:tabs>
              <w:tab w:val="right" w:leader="dot" w:pos="9350"/>
            </w:tabs>
            <w:spacing w:after="40"/>
            <w:ind w:left="240"/>
          </w:pPr>
          <w:r>
            <w:rPr>
              <w:rFonts w:ascii="Calibri" w:cs="Calibri" w:eastAsia="Calibri" w:hAnsi="Calibri"/>
              <w:sz w:val="19"/>
              <w:szCs w:val="19"/>
            </w:rPr>
            <w:t xml:space="preserve">S.3 Hypothèses converties en exigences (NC-T3-003)</w:t>
          </w:r>
          <w:r>
            <w:tab/>
          </w:r>
          <w:r>
            <w:rPr>
              <w:sz w:val="19"/>
              <w:szCs w:val="19"/>
            </w:rPr>
            <w:t>69</w:t>
          </w:r>
        </w:p>
        <w:p>
          <w:pPr>
            <w:tabs>
              <w:tab w:val="right" w:leader="dot" w:pos="9350"/>
            </w:tabs>
            <w:spacing w:after="40"/>
            <w:ind w:left="240"/>
          </w:pPr>
          <w:r>
            <w:rPr>
              <w:rFonts w:ascii="Calibri" w:cs="Calibri" w:eastAsia="Calibri" w:hAnsi="Calibri"/>
              <w:sz w:val="19"/>
              <w:szCs w:val="19"/>
            </w:rPr>
            <w:t xml:space="preserve">S.4 Échelles de cotation P et G (NC-T3-004)</w:t>
          </w:r>
          <w:r>
            <w:tab/>
          </w:r>
          <w:r>
            <w:rPr>
              <w:sz w:val="19"/>
              <w:szCs w:val="19"/>
            </w:rPr>
            <w:t>69</w:t>
          </w:r>
        </w:p>
        <w:p>
          <w:pPr>
            <w:tabs>
              <w:tab w:val="right" w:leader="dot" w:pos="9350"/>
            </w:tabs>
            <w:spacing w:after="40"/>
            <w:ind w:left="240"/>
          </w:pPr>
          <w:r>
            <w:rPr>
              <w:rFonts w:ascii="Calibri" w:cs="Calibri" w:eastAsia="Calibri" w:hAnsi="Calibri"/>
              <w:sz w:val="19"/>
              <w:szCs w:val="19"/>
            </w:rPr>
            <w:t xml:space="preserve">S.5 Règle de crédit des barrières (NC-T3-006)</w:t>
          </w:r>
          <w:r>
            <w:tab/>
          </w:r>
          <w:r>
            <w:rPr>
              <w:sz w:val="19"/>
              <w:szCs w:val="19"/>
            </w:rPr>
            <w:t>69</w:t>
          </w:r>
        </w:p>
        <w:p>
          <w:pPr>
            <w:tabs>
              <w:tab w:val="right" w:leader="dot" w:pos="9350"/>
            </w:tabs>
            <w:spacing w:after="40"/>
            <w:ind w:left="240"/>
          </w:pPr>
          <w:r>
            <w:rPr>
              <w:rFonts w:ascii="Calibri" w:cs="Calibri" w:eastAsia="Calibri" w:hAnsi="Calibri"/>
              <w:sz w:val="19"/>
              <w:szCs w:val="19"/>
            </w:rPr>
            <w:t xml:space="preserve">S.6 Modèle de fiche ALARP par danger (NC-T3-005)</w:t>
          </w:r>
          <w:r>
            <w:tab/>
          </w:r>
          <w:r>
            <w:rPr>
              <w:sz w:val="19"/>
              <w:szCs w:val="19"/>
            </w:rPr>
            <w:t>69</w:t>
          </w:r>
        </w:p>
        <w:p>
          <w:pPr>
            <w:tabs>
              <w:tab w:val="right" w:leader="dot" w:pos="9350"/>
            </w:tabs>
            <w:spacing w:after="40"/>
            <w:ind w:left="240"/>
          </w:pPr>
          <w:r>
            <w:rPr>
              <w:rFonts w:ascii="Calibri" w:cs="Calibri" w:eastAsia="Calibri" w:hAnsi="Calibri"/>
              <w:sz w:val="19"/>
              <w:szCs w:val="19"/>
            </w:rPr>
            <w:t xml:space="preserve">S.7 Analyse des causes communes (NC-T3-010)</w:t>
          </w:r>
          <w:r>
            <w:tab/>
          </w:r>
          <w:r>
            <w:rPr>
              <w:sz w:val="19"/>
              <w:szCs w:val="19"/>
            </w:rPr>
            <w:t>70</w:t>
          </w:r>
        </w:p>
        <w:p>
          <w:pPr>
            <w:tabs>
              <w:tab w:val="right" w:leader="dot" w:pos="9350"/>
            </w:tabs>
            <w:spacing w:after="40"/>
            <w:ind w:left="240"/>
          </w:pPr>
          <w:r>
            <w:rPr>
              <w:rFonts w:ascii="Calibri" w:cs="Calibri" w:eastAsia="Calibri" w:hAnsi="Calibri"/>
              <w:sz w:val="19"/>
              <w:szCs w:val="19"/>
            </w:rPr>
            <w:t xml:space="preserve">S.8 Arbres de défaillance (fault trees) — NC-T3-012</w:t>
          </w:r>
          <w:r>
            <w:tab/>
          </w:r>
          <w:r>
            <w:rPr>
              <w:sz w:val="19"/>
              <w:szCs w:val="19"/>
            </w:rPr>
            <w:t>70</w:t>
          </w:r>
        </w:p>
        <w:p>
          <w:pPr>
            <w:tabs>
              <w:tab w:val="right" w:leader="dot" w:pos="9350"/>
            </w:tabs>
            <w:spacing w:after="40"/>
            <w:ind w:left="240"/>
          </w:pPr>
          <w:r>
            <w:rPr>
              <w:rFonts w:ascii="Calibri" w:cs="Calibri" w:eastAsia="Calibri" w:hAnsi="Calibri"/>
              <w:sz w:val="19"/>
              <w:szCs w:val="19"/>
            </w:rPr>
            <w:t xml:space="preserve">S.9 Identifiants stables et gouvernance (NC-T3-014/016/023/022)</w:t>
          </w:r>
          <w:r>
            <w:tab/>
          </w:r>
          <w:r>
            <w:rPr>
              <w:sz w:val="19"/>
              <w:szCs w:val="19"/>
            </w:rPr>
            <w:t>71</w:t>
          </w:r>
        </w:p>
        <w:p>
          <w:pPr>
            <w:tabs>
              <w:tab w:val="right" w:leader="dot" w:pos="9350"/>
            </w:tabs>
            <w:spacing w:after="40"/>
          </w:pPr>
          <w:r>
            <w:rPr>
              <w:rFonts w:ascii="Calibri" w:cs="Calibri" w:eastAsia="Calibri" w:hAnsi="Calibri"/>
              <w:b/>
              <w:bCs/>
              <w:sz w:val="19"/>
              <w:szCs w:val="19"/>
            </w:rPr>
            <w:t xml:space="preserve">11. Références réglementaires</w:t>
          </w:r>
          <w:r>
            <w:tab/>
          </w:r>
          <w:r>
            <w:rPr>
              <w:sz w:val="19"/>
              <w:szCs w:val="19"/>
            </w:rPr>
            <w:t>72</w:t>
          </w:r>
        </w:p>
        <w:p>
          <w:pPr>
            <w:tabs>
              <w:tab w:val="right" w:leader="dot" w:pos="9350"/>
            </w:tabs>
            <w:spacing w:after="40"/>
          </w:pPr>
          <w:r>
            <w:rPr>
              <w:rFonts w:ascii="Calibri" w:cs="Calibri" w:eastAsia="Calibri" w:hAnsi="Calibri"/>
              <w:b/>
              <w:bCs/>
              <w:sz w:val="19"/>
              <w:szCs w:val="19"/>
            </w:rPr>
            <w:t xml:space="preserve">12. Feuille de route de validation (blocages)</w:t>
          </w:r>
          <w:r>
            <w:tab/>
          </w:r>
          <w:r>
            <w:rPr>
              <w:sz w:val="19"/>
              <w:szCs w:val="19"/>
            </w:rPr>
            <w:t>73</w:t>
          </w:r>
        </w:p>
        <w:p>
          <w:pPr>
            <w:tabs>
              <w:tab w:val="right" w:leader="dot" w:pos="9350"/>
            </w:tabs>
            <w:spacing w:after="40"/>
            <w:ind w:left="240"/>
          </w:pPr>
          <w:r>
            <w:rPr>
              <w:rFonts w:ascii="Calibri" w:cs="Calibri" w:eastAsia="Calibri" w:hAnsi="Calibri"/>
              <w:sz w:val="19"/>
              <w:szCs w:val="19"/>
            </w:rPr>
            <w:t xml:space="preserve">12.1 Blocages AVANT toute émission réelle 2D</w:t>
          </w:r>
          <w:r>
            <w:tab/>
          </w:r>
          <w:r>
            <w:rPr>
              <w:sz w:val="19"/>
              <w:szCs w:val="19"/>
            </w:rPr>
            <w:t>73</w:t>
          </w:r>
        </w:p>
        <w:p>
          <w:pPr>
            <w:tabs>
              <w:tab w:val="right" w:leader="dot" w:pos="9350"/>
            </w:tabs>
            <w:spacing w:after="40"/>
            <w:ind w:left="240"/>
          </w:pPr>
          <w:r>
            <w:rPr>
              <w:rFonts w:ascii="Calibri" w:cs="Calibri" w:eastAsia="Calibri" w:hAnsi="Calibri"/>
              <w:sz w:val="19"/>
              <w:szCs w:val="19"/>
            </w:rPr>
            <w:t xml:space="preserve">12.2 Blocages AVANT dépôt du SFOC</w:t>
          </w:r>
          <w:r>
            <w:tab/>
          </w:r>
          <w:r>
            <w:rPr>
              <w:sz w:val="19"/>
              <w:szCs w:val="19"/>
            </w:rPr>
            <w:t>73</w:t>
          </w:r>
        </w:p>
        <w:p>
          <w:pPr>
            <w:tabs>
              <w:tab w:val="right" w:leader="dot" w:pos="9350"/>
            </w:tabs>
            <w:spacing w:after="40"/>
          </w:pPr>
          <w:r>
            <w:rPr>
              <w:rFonts w:ascii="Calibri" w:cs="Calibri" w:eastAsia="Calibri" w:hAnsi="Calibri"/>
              <w:b/>
              <w:bCs/>
              <w:sz w:val="19"/>
              <w:szCs w:val="19"/>
            </w:rPr>
            <w:t xml:space="preserve">13. Retours d'expérience administratifs — non crédités comme exigences réglementaires</w:t>
          </w:r>
          <w:r>
            <w:tab/>
          </w:r>
          <w:r>
            <w:rPr>
              <w:sz w:val="19"/>
              <w:szCs w:val="19"/>
            </w:rPr>
            <w:t>75</w:t>
          </w:r>
        </w:p>
        <w:p>
          <w:pPr>
            <w:tabs>
              <w:tab w:val="right" w:leader="dot" w:pos="9350"/>
            </w:tabs>
            <w:spacing w:after="40"/>
            <w:ind w:left="240"/>
          </w:pPr>
          <w:r>
            <w:rPr>
              <w:rFonts w:ascii="Calibri" w:cs="Calibri" w:eastAsia="Calibri" w:hAnsi="Calibri"/>
              <w:sz w:val="19"/>
              <w:szCs w:val="19"/>
            </w:rPr>
            <w:t xml:space="preserve">13.1 Tableau de statuts</w:t>
          </w:r>
          <w:r>
            <w:tab/>
          </w:r>
          <w:r>
            <w:rPr>
              <w:sz w:val="19"/>
              <w:szCs w:val="19"/>
            </w:rPr>
            <w:t>75</w:t>
          </w:r>
        </w:p>
        <w:p>
          <w:pPr>
            <w:tabs>
              <w:tab w:val="right" w:leader="dot" w:pos="9350"/>
            </w:tabs>
            <w:spacing w:after="40"/>
            <w:ind w:left="240"/>
          </w:pPr>
          <w:r>
            <w:rPr>
              <w:rFonts w:ascii="Calibri" w:cs="Calibri" w:eastAsia="Calibri" w:hAnsi="Calibri"/>
              <w:sz w:val="19"/>
              <w:szCs w:val="19"/>
            </w:rPr>
            <w:t xml:space="preserve">13.2 Formulations prudentes retenues</w:t>
          </w:r>
          <w:r>
            <w:tab/>
          </w:r>
          <w:r>
            <w:rPr>
              <w:sz w:val="19"/>
              <w:szCs w:val="19"/>
            </w:rPr>
            <w:t>76</w:t>
          </w:r>
        </w:p>
        <w:p>
          <w:pPr>
            <w:tabs>
              <w:tab w:val="right" w:leader="dot" w:pos="9350"/>
            </w:tabs>
            <w:spacing w:after="40"/>
            <w:ind w:left="240"/>
          </w:pPr>
          <w:r>
            <w:rPr>
              <w:rFonts w:ascii="Calibri" w:cs="Calibri" w:eastAsia="Calibri" w:hAnsi="Calibri"/>
              <w:sz w:val="19"/>
              <w:szCs w:val="19"/>
            </w:rPr>
            <w:t xml:space="preserve">13.3 Point de vérité — origine du besoin de Safety Case</w:t>
          </w:r>
          <w:r>
            <w:tab/>
          </w:r>
          <w:r>
            <w:rPr>
              <w:sz w:val="19"/>
              <w:szCs w:val="19"/>
            </w:rPr>
            <w:t>76</w:t>
          </w:r>
        </w:p>
        <w:p>
          <w:pPr>
            <w:tabs>
              <w:tab w:val="right" w:leader="dot" w:pos="9350"/>
            </w:tabs>
            <w:spacing w:after="40"/>
          </w:pPr>
          <w:r>
            <w:rPr>
              <w:rFonts w:ascii="Calibri" w:cs="Calibri" w:eastAsia="Calibri" w:hAnsi="Calibri"/>
              <w:b/>
              <w:bCs/>
              <w:sz w:val="19"/>
              <w:szCs w:val="19"/>
            </w:rPr>
            <w:t xml:space="preserve">Approbation finale du dossier</w:t>
          </w:r>
          <w:r>
            <w:tab/>
          </w:r>
          <w:r>
            <w:rPr>
              <w:sz w:val="19"/>
              <w:szCs w:val="19"/>
            </w:rPr>
            <w:t>78</w:t>
          </w:r>
        </w:p>
        <w:p>
          <w:pPr>
            <w:tabs>
              <w:tab w:val="right" w:leader="dot" w:pos="9350"/>
            </w:tabs>
            <w:spacing w:after="40"/>
            <w:ind w:left="240"/>
          </w:pPr>
          <w:r>
            <w:rPr>
              <w:rFonts w:ascii="Calibri" w:cs="Calibri" w:eastAsia="Calibri" w:hAnsi="Calibri"/>
              <w:sz w:val="19"/>
              <w:szCs w:val="19"/>
            </w:rPr>
            <w:t xml:space="preserve">Annexe — Rapport JUnit historique (SUPERSEDED : sous-ensemble soccer 26 classes / 278 cas ; décompte à jour au</w:t>
          </w:r>
          <w:r>
            <w:tab/>
          </w:r>
          <w:r>
            <w:rPr>
              <w:sz w:val="19"/>
              <w:szCs w:val="19"/>
            </w:rPr>
            <w:t>78</w:t>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Configuration opérationnelle figée demandée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la configuration opérationnelle figée sur le chemin logique testé jusqu'à l'arbitre ; le verrou logiciel obstacleGateAllows a été RETIRÉ de la baseline altitude en v51 (preuve d'indépendance, 512 combinaisons) — l'émission RÉELLE n'est toutefois PAS démontrée sur l'aéronef (SOCCER_2D_REAL_ENABLED=false ; E-03 requis)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696 cas de test automatisés (le 278 est un rapport JUnit historique, superseded — voir manifeste §7), 0 échec, dont DEUX preuves exhaustives de l'arbitre, chacune sur 512 combinaisons (2⁹) : chemin HORIZONTAL (9 conditions, un seul cas autorise) et baseline ALTITUDE (8 conditions applicables, indépendance du bit gate prouvée bit à bit).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l'événement est annoncé au public ; le périmètre officiel de l'événement sera cartographié. Le scénario SFOC événement annoncé (RAC partie IX, microdrones inclus depuis 2025-04-01, pour un vol à moins de 30 m des limites de l'événement) est retenu PROVISOIREMENT ; son applicabilité sera confirmée lorsque la distance minimale entre le volume de vol et les limites de l'événement aura été établie.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§4.2.</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§5.3.</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+ 696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696 cas de test automatisés (couverture 86% instr / 71,6% branches ;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(§6.4) ET MOYENS (§6.5)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(§4.2.3 : zones, buffer, pilote/observateur) ; RESTE : autorisation NAV Canada (espace contrôlé)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≈16 m à 2 m/s — VALEUR DE CONCEPTION PROVISOIRE (§4.2.2 ; hypothèses non démontrées : décélération, latence, persistance, reprise, dérive) + plan à l'échelle (§4.2.3) ; + analyse géométrique du site (§4.2.4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NEUF procédures d'urgence numérotées (§9.3.1 à §9.3.9 : intrusion, perte RC, anomalie logiciel, météo, arrêt d'urgence, perte vidéo, batterie, perte GPS, perte VLOS), complétées par la section Autorité et communications (§9.3.10) ; fiche exercice préparée + responsables nommés (§9.3.10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 pesée officielle (si &lt; 250 g → certificat et immatriculation S/O ; si ≥ 250 g → documents applicables) ; AVANT dépôt : analyse d'espace aérien ; APRÈS délivrance du SFOC et avant chaque opération : opération NAV Drone + RPAS Operation Summary accepté ; retours de permissions signés ; attestation d'assurance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(§4.2.1/§4.2.2 : buffer ~16 m à 2 m/s, VALEUR PROVISOIRE non démontrée) ; qualification de majorant + verrouillage conditionnés aux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GÉOMÉTRIQUE établie (§4.2.4 : règle ≥16,2 m d'un côté + plan à l'échelle §4.2.3)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(§6.4) + dangers MOYENS (§6.5)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§5.2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l'application force la commande à une valeur neutre / bloque son émission — le comportement physique résultant est à caractériser par E-03 avant d'être qualifié de hover).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sz w:val="21"/>
          <w:szCs w:val="21"/>
        </w:rPr>
        <w:t xml:space="preserve">RENSEIGNÉ (2026-07-20). Politique de gestion des clés/API : aucun jeton ni clé n'est versionné dans le dépôt (le .gitignore exclut local.properties et les secrets). Le jeton d'authentification (jwt_token) est stocké localement dans le stockage privé de l'application (SharedPreferences), effacé à la déconnexion ; il ne transite jamais par le dépôt de code. Source d'installation autorisée : l'APK est compilé par l'exploitant et installé par SIDELOAD signé (ADB / Android Studio) sur le téléphone d'opération — aucun magasin public ; l'empreinte (hash) et la version de l'APK déployé sont consignées au dépôt (voir §0, configuration logicielle : v4.2.0, commit dfd8ce0). Conservation des journaux : les journaux de décision et de vol (écrits dans le stockage privé Android/data/ca.cineflight.solo/files/rtk_sessions) sont conservés 24 MOIS après chaque opération, à des fins d'audit et de rapport de conformité, puis supprimés. Lieu de conservation : après chaque vol, les journaux sont téléversés vers un stockage CLOUD PRIVÉ de CineFlight (accès restreint à l'exploitant). Le téléphone n'est pas le lieu de conservation à long terme.</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conditions d'armement — en DEUX preuves : chemin horizontal (9 conditions) et baseline altitude (8 conditions applicables, gate hors périmètre) — tandis que la priorité pilote et l'urgence sont vérifiées séparément et testées à part (voir §7). La preuve « 512 » concerne UNIQUEMENT l'arbitre (FlightCommandArbiter). Le double verrou 2D (Emission2DGuard) est testé par ses propres cas dédiés (26 tests directs dans l'exécution actuelle, dont la preuve d'indépendance du bit gate ; l'extrait historique en annexe montrait l'ancien état de 13),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la baseline altitude seule, cette condition est RETIRÉE du chemin d'émission depuis la v51 (l'arbitre l'ignore ; preuve d'indépendance sur 512 combinaisons) et demeure NON CRÉDITÉE comme barrière d'évitement. Sur le chemin HORIZONTAL (rail/2D réel, hors périmètre de la demande), le drapeau reste une condition dure, à false (fail-closed) tant qu'une fonction d'évitement n'est pas définie, documentée et démontrée — capteur, portée, angles morts, conditions de lumière, latence, comportement si indisponible). Le confinement repose donc sur le géorepérage + buffer (§4.2)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restreint à l'ALTITUDE AUTOMATISÉE (SoccerDirector → contrôleur d'altitude → Emission2DGuard → arbitre). Le décalage latéral proposé par SoccerDirector reste en MIROIR/JOURNAL — jamais émis (roll/pitch/yaw = 0 reconstruits). Le mode rail est une capacité distincte de l'application,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sz w:val="21"/>
          <w:szCs w:val="21"/>
        </w:rPr>
        <w:t xml:space="preserve">RENSEIGNÉ (2026-07-20) : vérifié dans le code et confirmé par l'essai E-06/E-07 au sol. Le SafetySnapshot du mode 2D est bien celui emprunté par le chemin logiciel réel — exécuté et testé jusqu'à l'arbitre ; l'émission matérielle demeure NON démontrée — (emettre2DSoccer → capturerSnapshotSecurite → Emission2DGuard.decider → FlightCommandArbiter). Le champ AC (actionFreshAndConfident) du snapshot pilote effectivement le blocage : quand la détection se périme (&gt;600 ms), AC=0 et throttle_emis=0 — démontré au sol. Le libellé « rail » du log partagé (SoccerRailMirrorLog) reste à renommer pour lever l'ambiguïté 2D (à corriger ; ne réduit pas la criticité).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Demande couvrant PLUSIEURS OPÉRATIONS planifiées (AC 903-002), aux dates et sites énumérés dans les annexes opérationnelles. Une annexe complète par site (géométrie, espace aérien, personnes, risques, permissions, procédures adaptées).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Multi-opérations : les sites, dates, heures, buts, volumes et analyses couverts doivent être INCLUS DANS LA DEMANDE INITIALE et dans le certificat délivré, ou faire l'objet d'une modification / nouvelle autorisation AVANT leur ajout (AC 903-002). Le regroupement AC 903-002 ne garantit ni autorisation permanente ni nationale ; chaque site/période/opération doit être suffisamment décrit.</w:t>
            </w:r>
          </w:p>
        </w:tc>
      </w:tr>
    </w:tbl>
    <w:p>
      <w:pPr>
        <w:spacing w:after="100" w:line="276"/>
      </w:pPr>
      <w:r>
        <w:rPr>
          <w:rFonts w:ascii="Calibri" w:cs="Calibri" w:eastAsia="Calibri" w:hAnsi="Calibri"/>
          <w:b/>
          <w:bCs/>
          <w:sz w:val="21"/>
          <w:szCs w:val="21"/>
        </w:rPr>
        <w:t xml:space="preserve">RENSEIGNÉ (2026-07-20) : SFOC RÉCURRENT demandé (plusieurs dates de la saison de soccer). CONSÉQUENCE : chaque site/date fera l'objet de sa propre analyse (site, espace aérien, confinement) et de sa propre autorisation NAV Canada. Le présent dossier documente le site de référence (parc La Fontaine) ; les sites/dates additionnels seront joints en annexes par site avant chaque opération.</w:t>
      </w:r>
    </w:p>
    <w:p>
      <w:r>
        <w:br w:type="page"/>
      </w:r>
    </w:p>
    <w:p>
      <w:pPr>
        <w:pStyle w:val="Heading2"/>
        <w:spacing w:after="100" w:before="200"/>
      </w:pPr>
      <w:r>
        <w:rPr>
          <w:rFonts w:ascii="Calibri" w:cs="Calibri" w:eastAsia="Calibri" w:hAnsi="Calibri"/>
          <w:b/>
          <w:bCs/>
          <w:color w:val="1F3864"/>
        </w:rPr>
        <w:t xml:space="preserve">4.0.2 Paramètres détaillés de l'opération</w:t>
      </w:r>
    </w:p>
    <w:p>
      <w:pPr>
        <w:pStyle w:val="Heading2"/>
        <w:spacing w:after="100" w:before="200"/>
      </w:pPr>
      <w:r>
        <w:rPr>
          <w:rFonts w:ascii="Calibri" w:cs="Calibri" w:eastAsia="Calibri" w:hAnsi="Calibri"/>
          <w:b/>
          <w:bCs/>
          <w:color w:val="1F3864"/>
        </w:rPr>
        <w:t xml:space="preserve">4.0.3 Site réel de l'opération (renseigné 2026-07-20)</w:t>
      </w:r>
    </w:p>
    <w:p>
      <w:pPr>
        <w:spacing w:after="100" w:line="276"/>
      </w:pPr>
      <w:r>
        <w:rPr>
          <w:rFonts w:ascii="Calibri" w:cs="Calibri" w:eastAsia="Calibri" w:hAnsi="Calibri"/>
          <w:sz w:val="21"/>
          <w:szCs w:val="21"/>
        </w:rPr>
        <w:t xml:space="preserve">Site retenu (données réelles, remplacent les À CONFIRMER PAR L'EXPLOITANT : du §4.0 et §4.0.2)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Modes de suivi de l'APPLICATION : deux modes sélectionnables dans le menu SOCCER (RAIL — le drone reste sur un rail latéral ; 2D TERRAIN — le drone se place en retrait de l'action). PÉRIMÈTRE DE LA DEMANDE : altitude automatisée SEULE ; les déplacements horizontaux automatisés (rail ET retrait 2D) sont VERROUILLÉS pendant les opérations SFOC (SOCCER_RAIL_REAL_ENABLED=false ; roll/pitch/yaw reconstruits à 0 au point d'émission). Le profil de rail de l'outil de préparation (orientation gauche→droite, altitude 25 m, vitesse 2,0 m/s, position sûre 0,5) documente une capacité FUTURE, non demandée ici. Position initiale : le drone est amené MANUELLEMENT par le pilote à sa position de retrait, puis l'altitude automatisée est armée.</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4.0.4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PRÉSUMÉ en espace aérien contrôlé — classe À DÉTERMINER OFFICIELLEMENT au point et aux altitudes de l'opération (proximité de l'aéroport Montréal–Trudeau / CYUL et de l'aéroport métropolitain / CYHU, densité urbaine, héliports hospitaliers dont le CHUM). La proximité de CYUL/CYHU, des héliports et la densité urbaine ne suffisent PAS à établir juridiquement la classe : À DÉTERMINER OFFICIELLEMENT (NAV Drone — outil officiel de planification et de demande de permission — ET par les publications aéronautiques applicables — cartes VFR, Supplément de vol – Canada, Manuel des espaces aériens désignés ; les NOTAM sont vérifiés par les sources aéronautiques officielles). L'opération sera créée dans NAV Drone sous catégorie SFOC APRÈS la délivrance du SFOC ; toute permission générée sera obtenue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Identifier TOUS les héliports certifiés figurant dans le CFS (Supplément de vol – Canada) et leurs circuits, notamment les héliports hospitaliers (CHUM). Si l'opération se trouve à moins de 1,9 km d'un héliport certifié, documenter la procédure applicable, les permissions et les conditions du SFOC ; ne PAS présumer qu'une distance seule règle le risque de rencontre.</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l'analyse d'espace aérien, la méthode d'obtention des permissions et les informations requises ne sont pas jointes, la demande SFOC n'est pas complète. Après délivrance du SFOC, les permissions NAV Drone applicables devront être obtenues avant l'exécution : l'opération n'est pas EXÉCUTABLE sans elles (condition de VOL, non de dépôt).</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À CÔTÉ du terrain, jamais au-dessus des personnes ; volume de vol séparé du public et du terrain par des marges (voir §4.2)</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(scénario dimensionnant)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Objectif ≥ 30 m ; à DÉMONTRER par le calcul de confinement §4.2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15–35 m AU-DESSUS DE L'ALTITUDE DE RÉFÉRENCE DU DÉCOLLAGE (KeyAltitude = altitude RELATIVE au point de décollage, PAS l'AGL terrain). La hauteur AGL réelle sur l'ensemble du volume sera obtenue par relevé du terrain et vérifiée avant l'opération ; deux variables distinctes sont tenues : altitude_relative_takeoff_m et height_agl_estimated_m. Plafond logiciel 35 m ; plafond réglementaire 122 m à démontrer en AGL réel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 QUALIFICATION DU FONDEMENT (critère officiel TC) : le périmètre réel de l'événement sera cartographié ; la distance minimale entre toute position du RPAS et la limite de ce périmètre sera calculée. Si l'opération se déroule à moins de 30 m de cette limite, le SFOC-RPAS pour événement annoncé est requis. Si la séparation demeure d'au moins 30 m, l'applicabilité de ce fondement sera réévaluée selon les règles et conditions opérationnelles restantes. Le scénario CONSERVATEUR (SFOC demandé) est retenu tant que le périmètre n'est pas cartographié. Le plan devra distinguer : périmètre officiel de l'événement, distance du volume de vol à ce périmètre, limite du terrain sportif, limites du public et des accès, distance aux personnes (la limite d'événement n'est ni la ligne de touche, ni le joueur le plus proche, ni les gradins).</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§4.2.</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§4.2.</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4.2.1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dépassement maximal crédible avant arrêt. Il se calcule comme la somme des distances parcourues durant chaque latence, plus le freinage et une marge. Les paramètres proviennent du code réel (Phase3Activity.kt) ; TOUS les termes non mesurés du calcul demeurent PROVISOIRES (freinage, latences, position, vent, erreur cartographique, persistance de commande, reprise pilote) tant qu'ils ne sont pas mesurés.</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 2,0 s (RTK_AGE_MAX_S) ; au-delà, la commande automatisée est neutralisée/bloquée (réaction physique à caractériser, E-03).</w:t>
      </w:r>
    </w:p>
    <w:p>
      <w:pPr>
        <w:spacing w:after="100" w:line="276"/>
      </w:pPr>
      <w:r>
        <w:rPr>
          <w:rFonts w:ascii="Calibri" w:cs="Calibri" w:eastAsia="Calibri" w:hAnsi="Calibri"/>
          <w:sz w:val="21"/>
          <w:szCs w:val="21"/>
        </w:rPr>
        <w:t xml:space="preserve">Chaîne de distance (scénario de calcul PROVISOIRE,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additionnelle FORFAITAIRE = 5,00 m — PROVISOIRE, à remplacer par des termes mesurés distincts : erreur GNSS horizontale, délai de mise à jour de position, dérive au vent, erreur cartographique, tolérance de géorepérage, imprécision de la limite réelle du site, incertitude statistique des essais</w:t>
      </w:r>
    </w:p>
    <w:p>
      <w:pPr>
        <w:spacing w:after="100" w:line="276"/>
      </w:pPr>
      <w:r>
        <w:rPr>
          <w:rFonts w:ascii="Calibri" w:cs="Calibri" w:eastAsia="Calibri" w:hAnsi="Calibri"/>
          <w:b/>
          <w:bCs/>
          <w:sz w:val="21"/>
          <w:szCs w:val="21"/>
        </w:rPr>
        <w:t xml:space="preserve">BUFFER TOTAL (somme brute des délais, scénario provisoire) ≈ 28,7 m à 4 m/s. Conséquence : pour viser ≥ 30 m réels au non-impliqué le plus proche dans ce scénario, la distance nominale de vol devrait être ≥ ~59 m — irréaliste sur un terrain. Le facteur DOMINANT est la vitesse (le freinage varie en v²). MÉTHODE CIBLE (v51, à appliquer avec les mesures E-03/E-12) : la somme brute suppose que TOUS les délais s'enchaînent intégralement — ce qui n'est pas nécessairement le cas — et pourrait aussi OMETTRE une persistance Virtual Stick révélée par E-03. Le buffer final sera le MAXIMUM CRÉDIBLE parmi des scénarios de défaillance séparés, chacun évalué comme d_excursion = d_avant_détection + d_persistance + d_réponse + d_arrêt + d_environnement : (1) détection YOLO périmée ; (2) position drone périmée ; (3) commande persistante après gel ; (4) reprise pilote ; (5) perte de liaison ; (6) dérive au vent ; (7) erreur de position ; (8) combinaison de causes communes crédibles — avec incertitude statistique. La somme brute actuelle est conservée comme scénario ENVELOPPE PROVISOIRE en attendant les mesures.</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PORTÉE : la vitesse horizontale ne concerne que les modes horizontaux FUTURS (hors demande) et le scénario enveloppe d'une vitesse horizontale présente au moment d'un gel/d'une reprise ; la baseline demandée n'automatise AUCUN mouvement horizontal. RECOMMANDATION DE CONCEPTION (modes futurs)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hypothèses de calcul PROVISOIRES, non des valeurs démontrées ; aucune qualification de majorant avant les essais.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par scénarios de défaillance (voir méthode ci-dessous).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borne à mesurer)</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‹e_pos› m — selon §5.2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4.2.2 Buffer à vMax verrouillé 2 m/s (renforcement 2026-07-20)</w:t>
      </w:r>
    </w:p>
    <w:p>
      <w:pPr>
        <w:spacing w:after="80" w:line="272"/>
      </w:pPr>
      <w:r>
        <w:rPr>
          <w:rFonts w:ascii="Calibri" w:cs="Calibri" w:eastAsia="Calibri" w:hAnsi="Calibri"/>
          <w:sz w:val="21"/>
          <w:szCs w:val="21"/>
        </w:rPr>
        <w:t xml:space="preserve">Ce calcul fournit une VALEUR DE CONCEPTION PROVISOIRE du buffer (non démontrée, non qualifiée de majorant avant les mesures E-03/E-12/freinage/latence/position/vent),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Le vol soccer est limité à 2 m/s par verrouillage logiciel (SafetyLimits). Aucune marge de contrôle ni aucun freinage supérieur n'est présumé de ce seul fait : toutes les performances réelles restent à mesurer.</w:t>
      </w:r>
    </w:p>
    <w:p>
      <w:pPr>
        <w:spacing w:after="80" w:line="272"/>
      </w:pPr>
      <w:r>
        <w:rPr>
          <w:rFonts w:ascii="Calibri" w:cs="Calibri" w:eastAsia="Calibri" w:hAnsi="Calibri"/>
          <w:sz w:val="21"/>
          <w:szCs w:val="21"/>
        </w:rPr>
        <w:t xml:space="preserve">Chaîne de distance à 2 m/s (hypothèse de calcul PROVISOIRE : a = 1,0 m/s², non démontrée)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hypothèse provisoire non démontrée)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forfaitaire = 5,00 m — PROVISOIRE, à décomposer en termes mesurés distincts (voir §4.2.1)</w:t>
      </w:r>
    </w:p>
    <w:p>
      <w:pPr>
        <w:spacing w:after="80" w:line="272"/>
      </w:pPr>
      <w:r>
        <w:rPr>
          <w:rFonts w:ascii="Calibri" w:cs="Calibri" w:eastAsia="Calibri" w:hAnsi="Calibri"/>
          <w:b/>
          <w:bCs/>
          <w:sz w:val="21"/>
          <w:szCs w:val="21"/>
        </w:rPr>
        <w:t xml:space="preserve">BUFFER PROVISOIRE CALCULÉ ≈ 16,2 m à 2 m/s, avec les hypothèses de travail ci-dessus (non démontrées).</w:t>
      </w:r>
    </w:p>
    <w:p>
      <w:pPr>
        <w:spacing w:after="80" w:line="272"/>
      </w:pPr>
      <w:r>
        <w:rPr>
          <w:rFonts w:ascii="Calibri" w:cs="Calibri" w:eastAsia="Calibri" w:hAnsi="Calibri"/>
          <w:sz w:val="21"/>
          <w:szCs w:val="21"/>
        </w:rPr>
        <w:t xml:space="preserve">Robustesse À DÉMONTRER (correction audit) : on POSTULE qu'un freinage réel réduirait le buffer, mais ce n'est PAS démontré — une décélération &lt; 1 m/s², une commande persistante, une perte de position, un vent défavorable ou un délai de reprise &gt; 2 s pourraient AUGMENTER la distance. La mesure réelle en vol peut CONFIRMER, RÉDUIRE ou AUGMENTER ce buffer (une commande persistante, une perte de position, un vent défavorable ou une reprise plus lente l'AUGMENTERAIENT).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(hypothèse basse provisoire)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(valeur NON démontrée pour ce drone) → buffer 14,7 m</w:t>
      </w:r>
    </w:p>
    <w:p>
      <w:pPr>
        <w:spacing w:after="80" w:line="272"/>
      </w:pPr>
      <w:r>
        <w:rPr>
          <w:rFonts w:ascii="Calibri" w:cs="Calibri" w:eastAsia="Calibri" w:hAnsi="Calibri"/>
          <w:b/>
          <w:bCs/>
          <w:sz w:val="21"/>
          <w:szCs w:val="21"/>
        </w:rPr>
        <w:t xml:space="preserve">CONCLUSION : le buffer de 16,2 m constitue une VALEUR DE CONCEPTION PROVISOIRE obtenue avec des hypothèses de travail. Il n'est ni démontré, ni qualifié de robuste, ni reconnu comme majorant opérationnel. Sa valeur finale dépend notamment d'E-03, d'E-12, du freinage réel, des latences, de la précision de position, du vent et de la configuration Virtual Stick. Le buffer (excursion après défaillance) NE DOIT PAS être confondu avec la distance minimale visée (30 m) : si l'objectif interne est de conserver 30 m APRÈS une excursion de 16,2 m, la trajectoire NOMINALE doit être planifiée à distance supérieure (≈ 46 m), pas à 16,2 m. La mesure en vol peut CONFIRMER, RÉDUIRE ou AUGMENTER le buffer ; aucune direction n'est présumée avant les mesures.</w:t>
      </w:r>
    </w:p>
    <w:p>
      <w:pPr>
        <w:pStyle w:val="Heading2"/>
        <w:spacing w:after="100" w:before="200"/>
      </w:pPr>
      <w:r>
        <w:rPr>
          <w:rFonts w:ascii="Calibri" w:cs="Calibri" w:eastAsia="Calibri" w:hAnsi="Calibri"/>
          <w:b/>
          <w:bCs/>
          <w:color w:val="1F3864"/>
        </w:rPr>
        <w:t xml:space="preserve">4.2.3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de confinement (valeur retenue : 16,2 m à vMax 2 m/s, §4.2.2 ; le schéma est indicatif et doit être ajusté au relevé réel).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(16,2 m — valeur retenue §4.2.2, désormais représentée sur le schéma ; à ajuster au relevé réel)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EXIGENCES DU PLAN FINAL (relevé géoréférencé) : coordonnées des sommets ; périmètre officiel de l'événement ; limites du terrain ; position des joueurs la plus défavorable ; spectateurs, gradins et bancs ; allées et entrées publiques ; obstacles (arbres, filets, poteaux, luminaires) ; volume opérationnel ; volume de contingence ; polygone logiciel interne ; corridor d'urgence ; trajectoires de décollage et d'atterrissage ; corridor/comportement RTH ; altitude et volume en trois dimensions. La règle « au moins un côté ≥ 16,2 m » ne suffit PAS à démontrer les extrémités, le décollage, l'atterrissage, la reprise pilote et le RTH. Les distances de buffer seront VERROUILLÉES après mesure du freinage réel et du délai de reprise en vol (§4.2.1).</w:t>
      </w:r>
    </w:p>
    <w:p>
      <w:pPr>
        <w:pStyle w:val="Heading2"/>
        <w:spacing w:after="100" w:before="200"/>
      </w:pPr>
      <w:r>
        <w:rPr>
          <w:rFonts w:ascii="Calibri" w:cs="Calibri" w:eastAsia="Calibri" w:hAnsi="Calibri"/>
          <w:b/>
          <w:bCs/>
          <w:color w:val="1F3864"/>
        </w:rPr>
        <w:t xml:space="preserve">4.2.4 Analyse géométrique du site vs buffer (2026-07-20)</w:t>
      </w:r>
    </w:p>
    <w:p>
      <w:pPr>
        <w:spacing w:after="80" w:line="272"/>
      </w:pPr>
      <w:r>
        <w:rPr>
          <w:rFonts w:ascii="Calibri" w:cs="Calibri" w:eastAsia="Calibri" w:hAnsi="Calibri"/>
          <w:sz w:val="21"/>
          <w:szCs w:val="21"/>
        </w:rPr>
        <w:t xml:space="preserve">Cette analyse relie le buffer de confinement (16,2 m, §4.2.2) à la géométrie réelle du site. Cette analyse est un DÉPISTAGE LATÉRAL PRÉLIMINAIRE : la disponibilité d'au moins 16,2 m sur un côté constitue seulement une CONDITION NÉCESSAIRE de placement latéral. Elle ne suffit PAS à démontrer le confinement global (toutes les limites horizontales, extrémités, volume vertical, décollage/atterrissage, corridor d'urgence, RTH, personnes, périmètre de l'événement, excursions mesurées).</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LATÉRAL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20 m disponibles → marge +3,8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25 m disponibles → marge +8,8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30 m disponibles → marge +13,8 m → LATÉRAL POSSIBLE — analyse complète requise</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DÉPISTAGE (préliminaire) : un côté offrant ≥ 16,2 m d'espace dégagé rend le placement latéral POSSIBLE ; le volume opérationnel peut alors y être étudié (voir plan §4.2.3). Le confinement global ne peut être déclaré satisfait qu'après validation de toutes les limites horizontales, des extrémités, du volume vertical, du décollage et de l'atterrissage, du corridor d'urgence, du RTH, des personnes, du périmètre de l'événement et des excursions mesurées.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L'UN DES ÉLÉMENTS DE SITE ENCORE REQUIS (avec le plan géoréférencé, les extrémités, les obstacles, le corridor RTH, le volume vertical et le buffer mesuré) — elle ne clôt PAS à elle seule la géométrie. Le verrouillage final du buffer reste conditionné aux mesures en vol (§4.2.2).</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§5.2›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sz w:val="21"/>
          <w:szCs w:val="21"/>
        </w:rPr>
        <w:t xml:space="preserve">RENSEIGNÉ (2026-07-20) : Seuils go/no-go d'annulation — VENT max OPÉRATIONNEL 25 km/h (moyen), rafales ≤ ‹à fixer›, écart moyen/rafales ≤ ‹à fixer› ; limite d'ESSAI distincte 28 km/h (§essais). Le 25 km/h opérationnel est plus conservateur que le 28 d'essai. Vent (rafales incluses ; sous la limite du Mini 4 Pro, avec marge) ; VISIBILITÉ : ciel dégagé garantissant la VLOS en permanence (pas de brouillard/pluie) ; BATTERIE : le seuil de DÉPART doit découler de la durée prévue (~20 min/vol), de la consommation mesurée, de la température, du vent, de la santé de la batterie et d'une réserve d'atterrissage — À CALCULER (le 40 % n'est PAS un minimum de décollage défendable ; 40 % = seuil d'INTERRUPTION en vol via l'arbitre) ; PLUIE : annulation. Ces seuils sont vérifiés à la porte pré-vol go/no-go et sont contraignants (no-go = pas de vol).</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(cas le plus contraignant)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5.2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FlightControllerKey.KeyAircraftLocation3D (MSDK v5) — lat/lon WGS-84 + altitude relative au décollage ; lecture par poller applicatif</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 Hz (poller applicatif, 200 ms) — fréquence effective À MESURER</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2 000 ms (RTK_AGE_MAX_S) — au-delà : blocage émission</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 (bloquant avant émission réelle)</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FlightControllerKey.KeyAltitude (MSDK v5) — altitude RELATIVE au point de décollage (PAS l'AGL terrain ; écart à caractériser en E-03)</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poussée par le SDK — fréquence effective À MESURER</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à fixer (proposé 2 000 ms) — À CONFIRMER</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USAGE : CADRAGE uniquement dans la baseline altitude (suivi YOLO image) → AUCUN crédit de confinement ; SANS OBJET pour le chemin de sécurité de la baseline. Contrat complet requis SEULEMENT si un usage sécurité est introduit (RTK externe pressenti : module AndroidRtkV4 présent au code)</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sz w:val="21"/>
          <w:szCs w:val="21"/>
        </w:rPr>
        <w:t xml:space="preserve">RENSEIGNÉ (2026-07-20) : POSITION PILOTE = point fixe DÉGAGÉ sur le côté du terrain qui offre le buffer requis (≥ 16,2 m d'espace jusqu'au non-impliqué le plus proche, §4.2.4), avec vue directe sur l'ensemble du volume opérationnel (§4.2.3). C'est cette position, combinée au géorepérage logiciel et au buffer, qui contribue au respect de la VLOS et du plan opérationnel — elle ne démontre PAS à elle seule le confinement du drone (confinement : §4.2, à démontrer). La position exacte est confirmée au repérage du site ; les seuils de confinement (buffer ≥ 16,2 m à vMax 2 m/s) sont fixés au §4.2.2.</w:t>
      </w:r>
    </w:p>
    <w:p>
      <w:pPr>
        <w:pStyle w:val="Heading2"/>
        <w:spacing w:after="100" w:before="200"/>
      </w:pPr>
      <w:r>
        <w:rPr>
          <w:rFonts w:ascii="Calibri" w:cs="Calibri" w:eastAsia="Calibri" w:hAnsi="Calibri"/>
          <w:b/>
          <w:bCs/>
          <w:color w:val="1F3864"/>
        </w:rPr>
        <w:t xml:space="preserve">5.3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Si masse opérationnelle &lt; 250 g (à confirmer par pesée) : SANS OBJET pour cette raison. Si ≥ 250 g : déterminer les déclarations applicables selon la distance réelle et le modèle — la distance ≥ 30 m n'est PAS encore démontrée et ne peut fonder l'exemption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sz w:val="21"/>
          <w:szCs w:val="21"/>
        </w:rPr>
        <w:t xml:space="preserve">RENSEIGNÉ (2026-07-20) : PILOTE responsable = ‹NOM de la personne pilote à inscrire› (CineFlight, +1 438 367 6652) ; OBSERVATEUR visuel = ‹à nommer avant chaque opération›. Suppléants ‹à désigner selon disponibilité›. Chaque titulaire signe une prise de connaissance des rôles et des procédures d'urgence (§9.3) avant l'opération. La feuille de prise de connaissance est jointe au dossier de vol.</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sz w:val="21"/>
          <w:szCs w:val="21"/>
        </w:rPr>
        <w:t xml:space="preserve">RENSEIGNÉ (2026-07-20) : Autorisations EN COURS — lettres de demande pré-remplies (organisateur de l'événement + arrondissement du Plateau-Mont-Royal, gestionnaire du parc) prêtes à envoyer. Les réponses écrites signées seront obtenues AVANT l'opération et les originaux conservés au dossier. Statut : à envoyer / à recevoir avant tout vol (bloquant).</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sz w:val="21"/>
          <w:szCs w:val="21"/>
        </w:rPr>
        <w:t xml:space="preserve">RENSEIGNÉ (2026-07-20) : Assurance responsabilité civile drone SOUSCRITE (détenue par l'exploitant CineFlight). Attestation couvrant la date et le type d'opération À JOINDRE au dossier de dépôt (vérifier que la couverture inclut l'événement annoncé et le site).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§5.2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§5.2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§5.2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 batterie NON gérable par failsafe : barrières = fixation mécanique + santé/rotation batteries + vérif pré-vol ; gravité 5 en revue spéciale → résiduel à démontrer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§4.2.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PARTIELLEMENT RENSEIGNÉ (2026-07-20) : les cotations P et G du registre §6 suivent l'échelle définie en §6.0 (P×G : faible 1-4, moyen 5-9, élevé 10-25). Les 4 dangers ÉLEVÉS (score 10) sont traités en fiches ALARP (§6.4) et les dangers MOYENS en mini-fiches (§6.5). Justification ALARP globale : aucun danger élevé n'est réductible à faible avant démonstration en vol des barrières. RESTE : ajouter les dangers propres au site après repérage (obstacles fixes, gradins) et valider les P/G par les mesures en vol.</w:t>
      </w:r>
    </w:p>
    <w:p>
      <w:r>
        <w:br w:type="page"/>
      </w:r>
    </w:p>
    <w:p>
      <w:pPr>
        <w:pStyle w:val="Heading2"/>
        <w:spacing w:after="100" w:before="200"/>
      </w:pPr>
      <w:r>
        <w:rPr>
          <w:rFonts w:ascii="Calibri" w:cs="Calibri" w:eastAsia="Calibri" w:hAnsi="Calibri"/>
          <w:b/>
          <w:bCs/>
          <w:color w:val="1F3864"/>
        </w:rPr>
        <w:t xml:space="preserve">6.4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(§9.3.5).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§4.2.1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(cas le plus contraignant).</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6.5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PRÉVENTIVES : verrouillage mécanique de la batterie, inspection des contacts, état de santé, rotation, historique des cycles, seuil de tension, température, check-list pré-vol. BARRIÈRE DE CONSÉQUENCE : volume de vol et zone au sol réduisant l'exposition en cas de chute non contrôlée. AUCUN crédit failsafe n'est accordé pour une perte COMPLÈTE d'alimentation (un contrôleur sans alimentation ne peut exécuter ni RTH ni atterrissage contrôlé). Décision : le résiduel (gravité 5) N'EST PAS déclaré acceptable avant la revue spéciale et les preuves de maintenance — À JOINDRE (bloquant pour ce danger).</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696 cas de test automatisés (JVM ; l'annexe Couverture des tests décrit la suite au moment de sa rédaction — décompte à jour au manifeste §7.1), détaillés dans l'annexe « Couverture des tests logiciels » (document séparé, 2026-07-20). Les composants de sécurité critiques y figurent : Emission2DGuard (26 cas), FlightCommandArbiter (29), CommandeWatchdog (13),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(Emission2DGuardTest, 26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CRÉÉE (classe+10 tests) ; migration incomplète (dupliquée dans Phase3Activity) à finaliser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 validé au sol ; sens physique en vol à confirmer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Watchdog : crédit SCINDÉ (v51) en deux modes de défaillance distincts — (a) retard/ralentissement du cycle, fil encore actif : 60 → 30 (watchdog de cycle implémenté et testé) ; (b) GEL TOTAL du fil d'émission : AUCUNE réduction (reste 60) tant que le watchdog STRICTEMENT indépendant n'est pas implémenté (REQ-WDG-001) — on ne crédite pas une barrière contre un mode de défaillance qu'elle ne peut pas détecter.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(26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sz w:val="21"/>
          <w:szCs w:val="21"/>
        </w:rPr>
        <w:t xml:space="preserve">PARTIELLEMENT RENSEIGNÉ (2026-07-20) : essais au sol faits avec références — E-01a/E-01b (signe, rapport d'essais) ; E-06/E-07 (perte vidéo, garde d'âge) ; E-08 (arrêt, §9.3.5) ; E-09 (perte RC, §9.3.2) ; tests logiciels (Emission2DGuardTest 26, FlightCommandArbiterTest 29, CommandeWatchdogTest 13). RESTE : compléter les lignes des essais EN VOL (E-01 vol, E-12, freinage) après exécution.</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Manifeste des preuves logicielles (exécution réelle)</w:t>
      </w:r>
    </w:p>
    <w:p>
      <w:pPr>
        <w:spacing w:after="100" w:line="276"/>
      </w:pPr>
      <w:r>
        <w:rPr>
          <w:rFonts w:ascii="Calibri" w:cs="Calibri" w:eastAsia="Calibri" w:hAnsi="Calibri"/>
          <w:sz w:val="21"/>
          <w:szCs w:val="21"/>
        </w:rPr>
        <w:t xml:space="preserve">Exécution Gradle UNIQUE (tâche testDebugUnitTest, 71 fichiers de rapport JUnit XML dans app/build/test-results/testDebugUnitTest/) du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(toutes suites, 5 packages)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71</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696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14,0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spacing w:before="120" w:after="120"/>
      </w:pPr>
      <w:r>
        <w:rPr>
          <w:rFonts w:ascii="Calibri" w:cs="Calibri" w:eastAsia="Calibri" w:hAnsi="Calibri"/>
          <w:sz w:val="21"/>
          <w:szCs w:val="21"/>
        </w:rPr>
        <w:t xml:space="preserve">Manifeste des suites (décompte RÉEL par paquet, extrait des 71 fichiers JUnit XML — chaque test compté une seule fois)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c>
          <w:tcPr>
            <w:tcW w:w="0" w:type="auto"/>
          </w:tcPr>
          <w:p>
            <w:pPr>
              <w:spacing w:after="40"/>
            </w:pPr>
            <w:r>
              <w:rPr>
                <w:rFonts w:ascii="Calibri" w:cs="Calibri" w:eastAsia="Calibri" w:hAnsi="Calibri"/>
                <w:b/>
                <w:bCs/>
                <w:sz w:val="19"/>
                <w:szCs w:val="19"/>
              </w:rPr>
              <w:t xml:space="preserve">Suite (paquet)</w:t>
            </w:r>
          </w:p>
        </w:tc>
        <w:tc>
          <w:tcPr>
            <w:tcW w:w="0" w:type="auto"/>
          </w:tcPr>
          <w:p>
            <w:pPr>
              <w:spacing w:after="40"/>
            </w:pPr>
            <w:r>
              <w:rPr>
                <w:rFonts w:ascii="Calibri" w:cs="Calibri" w:eastAsia="Calibri" w:hAnsi="Calibri"/>
                <w:b/>
                <w:bCs/>
                <w:sz w:val="19"/>
                <w:szCs w:val="19"/>
              </w:rPr>
              <w:t xml:space="preserve">Classes</w:t>
            </w:r>
          </w:p>
        </w:tc>
        <w:tc>
          <w:tcPr>
            <w:tcW w:w="0" w:type="auto"/>
          </w:tcPr>
          <w:p>
            <w:pPr>
              <w:spacing w:after="40"/>
            </w:pPr>
            <w:r>
              <w:rPr>
                <w:rFonts w:ascii="Calibri" w:cs="Calibri" w:eastAsia="Calibri" w:hAnsi="Calibri"/>
                <w:b/>
                <w:bCs/>
                <w:sz w:val="19"/>
                <w:szCs w:val="19"/>
              </w:rPr>
              <w:t xml:space="preserve">Tests</w:t>
            </w:r>
          </w:p>
        </w:tc>
        <w:tc>
          <w:tcPr>
            <w:tcW w:w="0" w:type="auto"/>
          </w:tcPr>
          <w:p>
            <w:pPr>
              <w:spacing w:after="40"/>
            </w:pPr>
            <w:r>
              <w:rPr>
                <w:rFonts w:ascii="Calibri" w:cs="Calibri" w:eastAsia="Calibri" w:hAnsi="Calibri"/>
                <w:b/>
                <w:bCs/>
                <w:sz w:val="19"/>
                <w:szCs w:val="19"/>
              </w:rPr>
              <w:t xml:space="preserve">Échecs</w:t>
            </w:r>
          </w:p>
        </w:tc>
        <w:tc>
          <w:tcPr>
            <w:tcW w:w="0" w:type="auto"/>
          </w:tcPr>
          <w:p>
            <w:pPr>
              <w:spacing w:after="40"/>
            </w:pPr>
            <w:r>
              <w:rPr>
                <w:rFonts w:ascii="Calibri" w:cs="Calibri" w:eastAsia="Calibri" w:hAnsi="Calibri"/>
                <w:b/>
                <w:bCs/>
                <w:sz w:val="19"/>
                <w:szCs w:val="19"/>
              </w:rPr>
              <w:t xml:space="preserve">Environnement</w:t>
            </w:r>
          </w:p>
        </w:tc>
      </w:tr>
      <w:tr>
        <w:tc>
          <w:tcPr>
            <w:tcW w:w="0" w:type="auto"/>
          </w:tcPr>
          <w:p>
            <w:pPr>
              <w:spacing w:after="40"/>
            </w:pPr>
            <w:r>
              <w:rPr>
                <w:rFonts w:ascii="Calibri" w:cs="Calibri" w:eastAsia="Calibri" w:hAnsi="Calibri"/>
                <w:sz w:val="19"/>
                <w:szCs w:val="19"/>
              </w:rPr>
              <w:t xml:space="preserve">ca.cineflight.stage.sport.soccer</w:t>
            </w:r>
          </w:p>
        </w:tc>
        <w:tc>
          <w:tcPr>
            <w:tcW w:w="0" w:type="auto"/>
          </w:tcPr>
          <w:p>
            <w:pPr>
              <w:spacing w:after="40"/>
            </w:pPr>
            <w:r>
              <w:rPr>
                <w:rFonts w:ascii="Calibri" w:cs="Calibri" w:eastAsia="Calibri" w:hAnsi="Calibri"/>
                <w:sz w:val="19"/>
                <w:szCs w:val="19"/>
              </w:rPr>
              <w:t xml:space="preserve">34</w:t>
            </w:r>
          </w:p>
        </w:tc>
        <w:tc>
          <w:tcPr>
            <w:tcW w:w="0" w:type="auto"/>
          </w:tcPr>
          <w:p>
            <w:pPr>
              <w:spacing w:after="40"/>
            </w:pPr>
            <w:r>
              <w:rPr>
                <w:rFonts w:ascii="Calibri" w:cs="Calibri" w:eastAsia="Calibri" w:hAnsi="Calibri"/>
                <w:sz w:val="19"/>
                <w:szCs w:val="19"/>
              </w:rPr>
              <w:t xml:space="preserve">384</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(1 classe Robolectric : SoccerRailProfileParserTest)</w:t>
            </w:r>
          </w:p>
        </w:tc>
      </w:tr>
      <w:tr>
        <w:tc>
          <w:tcPr>
            <w:tcW w:w="0" w:type="auto"/>
          </w:tcPr>
          <w:p>
            <w:pPr>
              <w:spacing w:after="40"/>
            </w:pPr>
            <w:r>
              <w:rPr>
                <w:rFonts w:ascii="Calibri" w:cs="Calibri" w:eastAsia="Calibri" w:hAnsi="Calibri"/>
                <w:sz w:val="19"/>
                <w:szCs w:val="19"/>
              </w:rPr>
              <w:t xml:space="preserve">ca.cineflight.stage.control</w:t>
            </w:r>
          </w:p>
        </w:tc>
        <w:tc>
          <w:tcPr>
            <w:tcW w:w="0" w:type="auto"/>
          </w:tcPr>
          <w:p>
            <w:pPr>
              <w:spacing w:after="40"/>
            </w:pPr>
            <w:r>
              <w:rPr>
                <w:rFonts w:ascii="Calibri" w:cs="Calibri" w:eastAsia="Calibri" w:hAnsi="Calibri"/>
                <w:sz w:val="19"/>
                <w:szCs w:val="19"/>
              </w:rPr>
              <w:t xml:space="preserve">31</w:t>
            </w:r>
          </w:p>
        </w:tc>
        <w:tc>
          <w:tcPr>
            <w:tcW w:w="0" w:type="auto"/>
          </w:tcPr>
          <w:p>
            <w:pPr>
              <w:spacing w:after="40"/>
            </w:pPr>
            <w:r>
              <w:rPr>
                <w:rFonts w:ascii="Calibri" w:cs="Calibri" w:eastAsia="Calibri" w:hAnsi="Calibri"/>
                <w:sz w:val="19"/>
                <w:szCs w:val="19"/>
              </w:rPr>
              <w:t xml:space="preserve">261</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(6 classes Robolectric : PiloteDrone*)</w:t>
            </w:r>
          </w:p>
        </w:tc>
      </w:tr>
      <w:tr>
        <w:tc>
          <w:tcPr>
            <w:tcW w:w="0" w:type="auto"/>
          </w:tcPr>
          <w:p>
            <w:pPr>
              <w:spacing w:after="40"/>
            </w:pPr>
            <w:r>
              <w:rPr>
                <w:rFonts w:ascii="Calibri" w:cs="Calibri" w:eastAsia="Calibri" w:hAnsi="Calibri"/>
                <w:sz w:val="19"/>
                <w:szCs w:val="19"/>
              </w:rPr>
              <w:t xml:space="preserve">ca.cineflight.stage.sentinelle</w:t>
            </w:r>
          </w:p>
        </w:tc>
        <w:tc>
          <w:tcPr>
            <w:tcW w:w="0" w:type="auto"/>
          </w:tcPr>
          <w:p>
            <w:pPr>
              <w:spacing w:after="40"/>
            </w:pPr>
            <w:r>
              <w:rPr>
                <w:rFonts w:ascii="Calibri" w:cs="Calibri" w:eastAsia="Calibri" w:hAnsi="Calibri"/>
                <w:sz w:val="19"/>
                <w:szCs w:val="19"/>
              </w:rPr>
              <w:t xml:space="preserve">4</w:t>
            </w:r>
          </w:p>
        </w:tc>
        <w:tc>
          <w:tcPr>
            <w:tcW w:w="0" w:type="auto"/>
          </w:tcPr>
          <w:p>
            <w:pPr>
              <w:spacing w:after="40"/>
            </w:pPr>
            <w:r>
              <w:rPr>
                <w:rFonts w:ascii="Calibri" w:cs="Calibri" w:eastAsia="Calibri" w:hAnsi="Calibri"/>
                <w:sz w:val="19"/>
                <w:szCs w:val="19"/>
              </w:rPr>
              <w:t xml:space="preserve">34</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sz w:val="19"/>
                <w:szCs w:val="19"/>
              </w:rPr>
              <w:t xml:space="preserve">ca.cineflight.stage.cine</w:t>
            </w:r>
          </w:p>
        </w:tc>
        <w:tc>
          <w:tcPr>
            <w:tcW w:w="0" w:type="auto"/>
          </w:tcPr>
          <w:p>
            <w:pPr>
              <w:spacing w:after="40"/>
            </w:pPr>
            <w:r>
              <w:rPr>
                <w:rFonts w:ascii="Calibri" w:cs="Calibri" w:eastAsia="Calibri" w:hAnsi="Calibri"/>
                <w:sz w:val="19"/>
                <w:szCs w:val="19"/>
              </w:rPr>
              <w:t xml:space="preserve">1</w:t>
            </w:r>
          </w:p>
        </w:tc>
        <w:tc>
          <w:tcPr>
            <w:tcW w:w="0" w:type="auto"/>
          </w:tcPr>
          <w:p>
            <w:pPr>
              <w:spacing w:after="40"/>
            </w:pPr>
            <w:r>
              <w:rPr>
                <w:rFonts w:ascii="Calibri" w:cs="Calibri" w:eastAsia="Calibri" w:hAnsi="Calibri"/>
                <w:sz w:val="19"/>
                <w:szCs w:val="19"/>
              </w:rPr>
              <w:t xml:space="preserve">8</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sz w:val="19"/>
                <w:szCs w:val="19"/>
              </w:rPr>
              <w:t xml:space="preserve">ca.cineflight.stage.streaming</w:t>
            </w:r>
          </w:p>
        </w:tc>
        <w:tc>
          <w:tcPr>
            <w:tcW w:w="0" w:type="auto"/>
          </w:tcPr>
          <w:p>
            <w:pPr>
              <w:spacing w:after="40"/>
            </w:pPr>
            <w:r>
              <w:rPr>
                <w:rFonts w:ascii="Calibri" w:cs="Calibri" w:eastAsia="Calibri" w:hAnsi="Calibri"/>
                <w:sz w:val="19"/>
                <w:szCs w:val="19"/>
              </w:rPr>
              <w:t xml:space="preserve">1</w:t>
            </w:r>
          </w:p>
        </w:tc>
        <w:tc>
          <w:tcPr>
            <w:tcW w:w="0" w:type="auto"/>
          </w:tcPr>
          <w:p>
            <w:pPr>
              <w:spacing w:after="40"/>
            </w:pPr>
            <w:r>
              <w:rPr>
                <w:rFonts w:ascii="Calibri" w:cs="Calibri" w:eastAsia="Calibri" w:hAnsi="Calibri"/>
                <w:sz w:val="19"/>
                <w:szCs w:val="19"/>
              </w:rPr>
              <w:t xml:space="preserve">9</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b/>
                <w:bCs/>
                <w:sz w:val="19"/>
                <w:szCs w:val="19"/>
              </w:rPr>
              <w:t xml:space="preserve">TOTAL (sans doublon)</w:t>
            </w:r>
          </w:p>
        </w:tc>
        <w:tc>
          <w:tcPr>
            <w:tcW w:w="0" w:type="auto"/>
          </w:tcPr>
          <w:p>
            <w:pPr>
              <w:spacing w:after="40"/>
            </w:pPr>
            <w:r>
              <w:rPr>
                <w:rFonts w:ascii="Calibri" w:cs="Calibri" w:eastAsia="Calibri" w:hAnsi="Calibri"/>
                <w:b/>
                <w:bCs/>
                <w:sz w:val="19"/>
                <w:szCs w:val="19"/>
              </w:rPr>
              <w:t xml:space="preserve">71</w:t>
            </w:r>
          </w:p>
        </w:tc>
        <w:tc>
          <w:tcPr>
            <w:tcW w:w="0" w:type="auto"/>
          </w:tcPr>
          <w:p>
            <w:pPr>
              <w:spacing w:after="40"/>
            </w:pPr>
            <w:r>
              <w:rPr>
                <w:rFonts w:ascii="Calibri" w:cs="Calibri" w:eastAsia="Calibri" w:hAnsi="Calibri"/>
                <w:b/>
                <w:bCs/>
                <w:sz w:val="19"/>
                <w:szCs w:val="19"/>
              </w:rPr>
              <w:t xml:space="preserve">696</w:t>
            </w:r>
          </w:p>
        </w:tc>
        <w:tc>
          <w:tcPr>
            <w:tcW w:w="0" w:type="auto"/>
          </w:tcPr>
          <w:p>
            <w:pPr>
              <w:spacing w:after="40"/>
            </w:pPr>
            <w:r>
              <w:rPr>
                <w:rFonts w:ascii="Calibri" w:cs="Calibri" w:eastAsia="Calibri" w:hAnsi="Calibri"/>
                <w:b/>
                <w:bCs/>
                <w:sz w:val="19"/>
                <w:szCs w:val="19"/>
              </w:rPr>
              <w:t xml:space="preserve">0</w:t>
            </w:r>
          </w:p>
        </w:tc>
        <w:tc>
          <w:tcPr>
            <w:tcW w:w="0" w:type="auto"/>
          </w:tcPr>
          <w:p>
            <w:pPr>
              <w:spacing w:after="40"/>
            </w:pPr>
            <w:r>
              <w:rPr>
                <w:rFonts w:ascii="Calibri" w:cs="Calibri" w:eastAsia="Calibri" w:hAnsi="Calibri"/>
                <w:b/>
                <w:bCs/>
                <w:sz w:val="19"/>
                <w:szCs w:val="19"/>
              </w:rPr>
              <w:t xml:space="preserve">Exécution unique testDebugUnitTest, 2026-07-20 (après retrait du gate, v51), ≈ 14,0 s</w:t>
            </w:r>
          </w:p>
        </w:tc>
      </w:tr>
    </w:tbl>
    <w:p>
      <w:pPr>
        <w:spacing w:before="120" w:after="120"/>
      </w:pPr>
      <w:r>
        <w:rPr>
          <w:rFonts w:ascii="Calibri" w:cs="Calibri" w:eastAsia="Calibri" w:hAnsi="Calibri"/>
          <w:sz w:val="21"/>
          <w:szCs w:val="21"/>
        </w:rPr>
        <w:t xml:space="preserve">LECTURE DU MANIFESTE : le total de 696 est la somme des 71 fichiers JUnit XML d'une exécution unique (aucun doublon). L'ancien total de 278 (26 classes) provient d'un rapport HISTORIQUE limité au package soccer, produit AVANT l'ajout des suites récentes ; il est SUPERSEDED et conservé en ANNEXE (« Rapport JUnit historique ») uniquement pour traçabilité — les 411 tests supplémentaires sont couverts par les mêmes rapports XML de l'exécution du 2026-07-20 (paquets control, sentinelle, cine, streaming et nouvelles suites soccer). Emission2DGuardTest compte AUJOURD'HUI 26 cas directs (13 historiques + 12 ajoutés + 1 preuve d'indépendance du gate en v51 ; aucun double comptage indirect). Les rapports BRUTS sont JOINTS au dossier : archive « Preuves_Tests_Logiciels_2026-07-20.zip » (71 rapports JUnit XML + rapport HTML Gradle + rapport JaCoCo HTML/XML). La couverture JaCoCo (86,0 % instructions / 71,6 % branches) est calculée sur les classes du package soccer à partir des données d'exécution de CETTE MÊME suite testDebugUnitTest (rapport jacocoSoccerReport).</w:t>
      </w:r>
    </w:p>
    <w:p>
      <w:pPr>
        <w:spacing w:before="120" w:after="120"/>
      </w:pPr>
      <w:r>
        <w:rPr>
          <w:rFonts w:ascii="Calibri" w:cs="Calibri" w:eastAsia="Calibri" w:hAnsi="Calibri"/>
          <w:sz w:val="21"/>
          <w:szCs w:val="21"/>
        </w:rPr>
        <w:t xml:space="preserve">LIMITES ET EXIGENCES AVANT OPÉRATION (v51) : (variante) la suite s'exécute en variante DEBUG (testDebugUnitTest) — exécuter aussi les tests de la variante RELEASE ou fournir une preuve d'équivalence ; tester l'APK RELEASE SIGNÉE (hash SHA-256 consigné) ; établir la correspondance exacte commit ↔ APK ↔ preuves (les modifications v51 doivent être COMMISES et le hash Git consigné au tableau de contrôle). (portée) La couverture chiffrée ne porte que sur le package soccer ; le package control (261 tests) contient des éléments critiques de la chaîne (mapping Virtual Stick, surveillance RC, SafetyLimits, snapshot, adaptateurs MSDK, gestion de l'arrêt) — ÉTENDRE la mesure de couverture à ces classes avant dépôt.</w:t>
      </w:r>
    </w:p>
    <w:p>
      <w:pPr>
        <w:spacing w:before="120" w:after="120"/>
      </w:pPr>
      <w:r>
        <w:rPr>
          <w:rFonts w:ascii="Calibri" w:cs="Calibri" w:eastAsia="Calibri" w:hAnsi="Calibri"/>
          <w:sz w:val="21"/>
          <w:szCs w:val="21"/>
        </w:rPr>
        <w:t xml:space="preserve">INDEX DES PREUVES JOINTES (fichier SÉPARÉ, non incorporé au présent document) : Preuves_Tests_Logiciels_2026-07-20.zip — contenu : 71 rapports JUnit XML (exécution v51 du 2026-07-20 : 696 tests, 0 échec, ≈ 14,0 s) + rapport HTML Gradle + rapport JaCoCo HTML/XML (mesure antérieure, à régénérer sur v51) ; taille : 504882 octets ; SHA-256 : 51af0ad8a21765ca617eb9e639117acad9084cee2b3bd8a7a4a73333f0f34b79 ; commit source : dfd8ce0 + modifications v51 (retrait du gate de la baseline altitude — hash Git à consigner après commit) ; type : preuves de tests unitaires JVM ; exigences couvertes : REQ-SAFE-001, REQ-CTRL-001, REQ-TIME-001, NC-T2-002/003/005 (partiel).</w:t>
      </w:r>
    </w:p>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DEUX preuves exhaustives (512 combinaisons chacune) : chemin HORIZONTAL — un seul cas (9 conditions toutes vraies) autorise la commande soccer ; baseline ALTITUDE — exactement 2 cas autorisent (8 conditions applicables vraies, bit gate 0 ou 1), la bascule du bit gate étant prouvée SANS EFFET sur chacune des 512 combinaisons. Le pilote gagne sur toutes les combinaisons ; l'urgence gagne sur tout sauf le pilote (vérifié dans les deux modes).</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7.3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Valeurs mesurées le 2026-07-20 (avant le retrait du gate, v51) — le rapport JaCoCo doit être RÉGÉNÉRÉ sur le code v51 (commande : .\gradlew jacocoSoccerReport) et les valeurs confirmées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86,0 % (mesuré)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71,6 % (mesuré)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87,0 % (mesuré)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82,9 % (mesuré)</w:t>
            </w:r>
          </w:p>
        </w:tc>
      </w:tr>
    </w:tbl>
    <w:p>
      <w:pPr>
        <w:spacing w:after="100" w:line="276"/>
      </w:pPr>
      <w:r>
        <w:rPr>
          <w:rFonts w:ascii="Calibri" w:cs="Calibri" w:eastAsia="Calibri" w:hAnsi="Calibri"/>
          <w:b/>
          <w:bCs/>
          <w:sz w:val="21"/>
          <w:szCs w:val="21"/>
        </w:rPr>
        <w:t xml:space="preserve">RENSEIGNÉ (2026-07-20) : rapport JaCoCo GÉNÉRÉ (jacocoSoccerReport). COUVERTURE MESURÉE du package de sécurité ca.cineflight.stage.sport.soccer (après ajout de 51 tests le 2026-07-20) : instructions 86,0 %, lignes 87,0 %, branches 71,6 %, méthodes 82,9 %, classes 86,0 %. Total 696 cas de test automatisés (NB : la couverture JaCoCo 86 %/71,6 % a été mesurée sur la suite au moment du rapport ; voir le manifeste des suites au §7 pour le décompte exact par environnement). Note : les ~700 instructions du parser SoccerRailProfile sont testées via Robolectric mais non comptées par JaCoCo dans cette configuration (limite de l'outil, non un manque de tests). Rapport HTML : app/build/reports/jacoco/jacocoSoccerReport/html/index.html — À JOINDRE au dossier de dépôt. Note : un bug de configuration du glob (.ec vs .exec) empêchait la génération ; corrigé le 2026-07-20.</w:t>
      </w:r>
    </w:p>
    <w:p>
      <w:pPr>
        <w:pStyle w:val="Heading2"/>
        <w:spacing w:after="100" w:before="200"/>
      </w:pPr>
      <w:r>
        <w:rPr>
          <w:rFonts w:ascii="Calibri" w:cs="Calibri" w:eastAsia="Calibri" w:hAnsi="Calibri"/>
          <w:b/>
          <w:bCs/>
          <w:color w:val="1F3864"/>
        </w:rPr>
        <w:t xml:space="preserve">7.4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sz w:val="21"/>
          <w:szCs w:val="21"/>
        </w:rPr>
        <w:t xml:space="preserve">RENSEIGNÉ (2026-07-20) : voir §2.6 (politique complète : aucun secret versionné, jeton en stockage privé, installation par sideload signé, empreinte v4.2.0/commit dfd8ce0 consignée, journaux conservés 24 mois en cloud privé). L'historique de l'incident de secret exposé (déjà révoqué et purgé de l'historique Git) est renvoyé en annexe interne, hors du corps du dossier.</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spacing w:after="120"/>
      </w:pPr>
      <w:r>
        <w:rPr>
          <w:rFonts w:ascii="Calibri" w:cs="Calibri" w:eastAsia="Calibri" w:hAnsi="Calibri"/>
          <w:sz w:val="21"/>
          <w:szCs w:val="21"/>
        </w:rPr>
        <w:t xml:space="preserve">E-03 — CARACTÉRISATION VIRTUAL STICK AU BANC (essai PRÉALABLE, à exécuter AVANT tout essai en vol). E-03 est un essai de banc/système, pas une simple mesure à ajouter lors d'un vol complet. Il doit caractériser au minimum : l'arrêt volontaire des appels Virtual Stick ; l'envoi répété de zéro ; la sortie explicite du mode Virtual Stick ; le gel du fil d'émission ; le plantage de l'application ; la fermeture forcée de l'application ; la perte de connexion MSDK ; la déconnexion de la radiocommande ; la dernière commande non nulle ; le délai jusqu'à la réaction du contrôleur de vol.</w:t>
      </w:r>
    </w:p>
    <w:p>
      <w:pPr>
        <w:spacing w:after="120"/>
      </w:pPr>
      <w:r>
        <w:rPr>
          <w:rFonts w:ascii="Calibri" w:cs="Calibri" w:eastAsia="Calibri" w:hAnsi="Calibri"/>
          <w:sz w:val="21"/>
          <w:szCs w:val="21"/>
        </w:rPr>
        <w:t xml:space="preserve">Les résultats E-03 ne valent que pour une CONFIGURATION FIGÉE : téléphone, version Android, application et hash APK, version MSDK, firmware drone, firmware radiocommande, modèle de radiocommande. Tout changement de configuration invalide les résultats et impose une re-caractérisation.</w:t>
      </w:r>
    </w:p>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P95 ≤ 160 ms ; P99 et MAX à borner par le buffer §4.2</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du site : corridor d'évacuation précis (direction, altitude, zone d'attente définis PAR SITE en annexe) — ne PAS monter par défaut (une montée peut rapprocher d'un aéronef habité ou prolonger le survol) ; priorité : immobilisation → éloignement → atterrissage selon la configuration.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s'exécuter le failsafe DJI selon la CONFIGURATION UNIQUE vérifiée et inscrite dans la baseline (RTH OU hover — à figer, pas les deux) ; le comportement physique réel doit être démontré par E-03/E-09 avant d'être qualifié (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9.3.5 Arrêt d'urgence général (geste unique)</w:t>
      </w:r>
    </w:p>
    <w:p>
      <w:pPr>
        <w:spacing w:after="80" w:line="276"/>
      </w:pPr>
      <w:r>
        <w:rPr>
          <w:rFonts w:ascii="Calibri" w:cs="Calibri" w:eastAsia="Calibri" w:hAnsi="Calibri"/>
          <w:sz w:val="21"/>
          <w:szCs w:val="21"/>
        </w:rPr>
        <w:t xml:space="preserve">Barrière validée au sol le 2026-07-20 (essai E-08) : la logique applicative écarte la commande automatisée (émission neutralisée côté logiciel) ; l'efficacité et le délai de la reprise physique par le pilote restent à mesurer par E-12.</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 la demande logicielle de sortie du Virtual Stick est exécutée — son effet réel sur le système est à démontrer par E-03).</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9.3.6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non commandé (comportement physique — hover, cessation ou autre — à démontrer par E-03).</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9.3.7 Batterie faible</w:t>
      </w:r>
    </w:p>
    <w:p>
      <w:pPr>
        <w:spacing w:after="80" w:line="276"/>
      </w:pPr>
      <w:r>
        <w:rPr>
          <w:rFonts w:ascii="Calibri" w:cs="Calibri" w:eastAsia="Calibri" w:hAnsi="Calibri"/>
          <w:sz w:val="21"/>
          <w:szCs w:val="21"/>
        </w:rPr>
        <w:t xml:space="preserve">Danger #16 : le 40 % est un seuil d'INTERRUPTION en vol (arbitre), PAS le minimum de décollage. Le seuil de départ est calculé selon durée prévue, consommation mesurée, température, vent, santé batterie et réserve d'atterrissage.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9.3.8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l'application force la commande automatisée à une valeur neutre / bloque son émission (comportement physique à démontrer par E-03).</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L'application force la commande à une valeur neutre / bloque l'émission dès que la position se périme (comportement physique à démontrer par E-03)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9.3.9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commande une valeur neutre (comportement physique à confirmer), remonte si besoin — seulement dans un corridor prévalidé —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(§9.3.5)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9.3.10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sz w:val="21"/>
          <w:szCs w:val="21"/>
        </w:rPr>
        <w:t xml:space="preserve">PARTIELLEMENT RENSEIGNÉ (2026-07-20) : pilote responsable = ‹NOM de la personne› (CineFlight) (+1 438 367 6652) ; observateur à nommer avant chaque opération (§9.3.10). Corridors et zones décrits sur le plan à l'échelle (§4.2.3), à ajuster au relevé du site. Exercice d'intrusion : fiche PRÉPARÉE (protocole + mesures + verdict, document séparé) ; RESTE à RÉALISER sur site et joindre la fiche remplie.</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sur le site Transport Canada (vérifier le numéro de formulaire courant au moment du dépôt), remplir et signer — À FAIRE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 À CONFIRMER par pesée (batterie + protections + carte + accessoires). Si &lt; 250 g : certificat de pilote de drone SANS OBJET (la masse seule ne l'impose pas). Si ≥ 250 g : certificat approprié requis avant l'opération. Le SFOC événement annoncé reste obligatoire quelle que soit la masse. Contact pilote : +1 438 367 6652 (numéro à re-vérifier avant diffusion)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Si masse opérationnelle &lt; 250 g (à confirmer par pesée) : immatriculation TC SANS OBJET. Si ≥ 250 g : immatriculation requise. Joindre une fiche de pesée datée, signée et photographiée pour la configuration exacte.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de sécurité 922.05/922.06 : ce sont des déclarations du MODÈLE de RPAS (produites par le fabricant/concepteur pour l'usage à proximité ou au-dessus de personnes), non une déclaration remplie par le pilote d'un microdrone. SANS OBJET pour la configuration &lt; 250 g, sauf condition technique imposée par le SFOC. Si masse ≥ 250 g : vérifier l'admissibilité du modèle et les déclarations du fabricant selon la distance réelle aux personnes. La distance de 30 m est conservée comme OBJECTIF INTERNE prudent, non comme exigence 922 universelle.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 : À DÉTERMINER OFFICIELLEMENT au point et aux altitudes de l'opération (secteur YUL/CYHU, héliports — la proximité seule ne l'établit pas juridiquement). AVANT DÉPÔT : analyse d'espace aérien + extrait de carte à joindre. APRÈS DÉLIVRANCE DU SFOC, avant chaque opération : opération NAV Drone (catégorie SFOC), tâches de permission satisfaites, RPAS Operation Summary accepté conservé — bloquant pour le VOL</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51.0,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30 jours OUVRABLES (événement annoncé standard) ou 60 jours OUVRABLES (complexité moyenne/haute),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figée (SFOC)</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RÉSOLU v51 (retrait PROPRE, pas un false→true) : condition RETIRÉE du chemin baseline altitude (paramètre horizontalMotionRequested=false ; preuve d'indépendance du bit sur 512 combinaisons ; Emission2DGuardTest 26 cas, FlightCommandArbiterTest 29 cas). Reste condition DURE sur le chemin RAIL/horizontal (false, fail-closed). Aucun crédit d'évitement d'obstacles revendiqué</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MAIS le battement et la vérification s'exécutent dans le MÊME fil : un gel de ce fil n'est pas couvert. Watchdog sur thread STRICTEMENT INDÉPENDANT = EXIGENCE BLOQUANTE (REQ-WDG-001), non une amélioration future. Contradiction à lever : l'absence de nouvelle émission ne prouve pas que le drone annule la dernière vitesse Virtual Stick (RPN 75, comportement inconnu — E-03 requis).</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DÉFINIE dans le code : FlightControllerKey.KeyAircraftLocation3D (MSDK v5). RESTENT BLOQUANTS : précision mesurée + seuil, fréquence effective, référentiel d'altitude vérifié, seuil de saut admissible, critères de rejet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MIS À JOUR v51 : la condition obstacleGateAllows a été RETIRÉE du chemin d'émission de la baseline altitude — l'arbitre l'ignore quand horizontalMotionRequested=false, et la preuve exhaustive démontre que la décision est INDÉPENDANTE de ce bit sur les 512 combinaisons (bascule du bit sans effet, combinaison par combinaison). Le champ reste transmis à false et demeure une condition DURE du chemin RAIL/horizontal. L'émission réelle reste désactivée par SOCCER_2D_REAL_ENABLED=false jusqu'à E-03.</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FlightControllerKey.KeyAltitude (MSDK v5), altitude RELATIVE au point de décollage (PAS l'AGL terrain — écart à caractériser en E-03) ; unité = m ; fréquence effective = À MESURER ; âge max = à fixer (proposé 2 000 ms) ; invalide → throttle 0. CONTRAT BLOQUANT avant émission réelle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FlightControllerKey.KeyAircraftLocation3D (MSDK v5 ; lat/lon WGS-84 ; altitude relative au décollage incluse — référentiel exact à vérifier) ; PAS le RTK du sujet ; fréquence demandée 5 Hz (effective À MESURER) ; âge max 2 000 ms (RTK_AGE_MAX_S — à justifier) ; précision À MESURER + seuil de rejet à fixer (bloquant) ; saut admissible : seuil chiffré à fixer ; réaction : blocage documenté ; horloge monotone ; preuve : test TST/POS à créer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600 ms (YOLO_FRAIS_MS, constante du code) ; sous seuil → non fiable → blocage</w:t>
            </w:r>
          </w:p>
        </w:tc>
      </w:tr>
    </w:tbl>
    <w:p>
      <w:pPr>
        <w:spacing w:after="100" w:line="276"/>
      </w:pPr>
      <w:r>
        <w:rPr>
          <w:rFonts w:ascii="Calibri" w:cs="Calibri" w:eastAsia="Calibri" w:hAnsi="Calibri"/>
          <w:b/>
          <w:bCs/>
          <w:sz w:val="21"/>
          <w:szCs w:val="21"/>
        </w:rPr>
        <w:t xml:space="preserve">PARTIELLEMENT RENSEIGNÉ (2026-07-20) : plusieurs contrats sont vérifiés dans le code et par test — signe du throttle (E-01), garde d'âge YOLO (E-06/07), coupure arrêt d'urgence (E-08), détection perte RC (E-09), watchdog de cycle (CommandeWatchdogTest). Ces contrats deviennent des exigences vérifiées. RESTE : renseigner les contrats dépendant de mesures en vol (freinage, délai de reprise, latence bout-en-bout).</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sz w:val="21"/>
          <w:szCs w:val="21"/>
        </w:rPr>
        <w:t xml:space="preserve">FAIT (2026-07-20) : classe SafetyLimits CRÉÉE (ca.cineflight.stage.control.SafetyLimits) — classe CENTRALE des seuils de sécurité (le crédit de « source unique » n'est PAS acquis tant que la migration des consommateurs n'est pas terminée — voir RESTE ci-dessous) : fraîcheur YOLO 600 ms, âge RTK 2 s, watchdog 500 ms, confiance YOLO 0,35, batterie 40 %, vitesses (horiz 4 / vert 2 / soccer 2 m/s), altitudes (plafond 60 m, opérationnel 35 m), distances (décrochage 120 m, opérateur 200 m), buffer confinement 16,2 m, fréquences de boucles. Testée par SafetyLimitsTest (10 cas figeant les valeurs : toute modification casse un test → revue explicite + re-test E-01..E-12 + MAJ dossier). Pur, sans dépendance Android. RESTE (BLOQUANT pour le crédit de source unique) : migration INCOMPLÈTE — les constantes demeurent dupliquées dans Phase3Activity. Aucun crédit de source unique n'est accordé avant : suppression des valeurs dupliquées ; consommation de SafetyLimits par le pré-vol, l'arbitre et tous les contrôleurs ; garde empêchant la réintroduction de seuils dupliqués ; identifiant de configuration inscrit dans les journaux.</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sz w:val="21"/>
          <w:szCs w:val="21"/>
        </w:rPr>
        <w:t xml:space="preserve">STATUT (2026-07-20) : le moteur YOLO natif (YOLO11 NCNN, modèle yolo11n) reçoit le flux via detectYUV (format NV21 de la caméra DJI) ; le décodage et l'appel natif sont encapsulés dans YoloSuivi (callbacks sur un thread dédié). Toute entrée native invalide — résultat nul, longueur incohérente, coordonnées hors image, confiance non finie ou classe inconnue — produit une liste de détections vide ; onSujet(false) est alors propagé jusqu'au SafetySnapshot, la condition actionFreshAndConfident devient fausse et l'émission est bloquée. Ce comportement est FAIL-CLOSED. Il doit néanmoins être vérifié de bout en bout, de JNI jusqu'au point d'émission. AUDIT FORMEL BLOQUANT (le moteur natif, les conversions YUV, les tableaux retournés et la gestion mémoire font partie du chemin de données de sécurité) — à mener même si le signe et les barrières sont déjà testés : revue de la thread-safety du moteur natif, de la gestion mémoire JNI, et confirmation du modèle chargé (yolo11n) en configuration de dépôt. À planifier avant l'usage opérationnel réel.</w:t>
      </w:r>
    </w:p>
    <w:p>
      <w:pPr>
        <w:pStyle w:val="Heading2"/>
        <w:spacing w:after="100" w:before="200"/>
      </w:pPr>
      <w:r>
        <w:rPr>
          <w:rFonts w:ascii="Calibri" w:cs="Calibri" w:eastAsia="Calibri" w:hAnsi="Calibri"/>
          <w:b/>
          <w:bCs/>
          <w:color w:val="1F3864"/>
        </w:rPr>
        <w:t xml:space="preserve">10ter.4.1 Ce que garantissent les tests de sécurité (explication)</w:t>
      </w:r>
    </w:p>
    <w:p>
      <w:pPr>
        <w:spacing w:after="80" w:line="272"/>
      </w:pPr>
      <w:r>
        <w:rPr>
          <w:rFonts w:ascii="Calibri" w:cs="Calibri" w:eastAsia="Calibri" w:hAnsi="Calibri"/>
          <w:sz w:val="21"/>
          <w:szCs w:val="21"/>
        </w:rPr>
        <w:t xml:space="preserve">Cette section explique, en langage clair, ce que les tests automatisés VÉRIFIENT réellement — pas seulement leur nombre. Chaque groupe de tests protège une partie de la logique de vol contre les défauts. Un test qui passe est une preuve automatique qu'un comportement de sécurité fonctionne comme prévu ; s'il cassait un jour, le défaut serait détecté avant tout vol.</w:t>
      </w:r>
    </w:p>
    <w:p>
      <w:pPr>
        <w:pStyle w:val="Heading3"/>
        <w:spacing w:after="70" w:before="130"/>
      </w:pPr>
      <w:r>
        <w:rPr>
          <w:rFonts w:ascii="Calibri" w:cs="Calibri" w:eastAsia="Calibri" w:hAnsi="Calibri"/>
          <w:b/>
          <w:bCs/>
          <w:color w:val="1F3864"/>
        </w:rPr>
        <w:t xml:space="preserve">Arrêt sûr du mouvement (Soccer2DMotionControllerTest — 10 tests)</w:t>
      </w:r>
    </w:p>
    <w:p>
      <w:pPr>
        <w:spacing w:after="80" w:line="272"/>
      </w:pPr>
      <w:r>
        <w:rPr>
          <w:rFonts w:ascii="Calibri" w:cs="Calibri" w:eastAsia="Calibri" w:hAnsi="Calibri"/>
          <w:sz w:val="21"/>
          <w:szCs w:val="21"/>
        </w:rPr>
        <w:t xml:space="preserve">Le groupe le plus important pour la sécurité logicielle. Il prouve que le CONTRÔLEUR produit une commande neutre ou bornée dans les conditions testées (il ne prouve PAS l'arrêt physique de l'aéronef, à démontrer au banc et en vol). Le contrôleur S'ARRÊTE proprement dans tous les cas dangereux :</w:t>
      </w:r>
    </w:p>
    <w:p>
      <w:pPr>
        <w:pStyle w:val="ListParagraph"/>
        <w:numPr>
          <w:ilvl w:val="0"/>
          <w:numId w:val="1"/>
        </w:numPr>
        <w:spacing w:after="40" w:line="264"/>
      </w:pPr>
      <w:r>
        <w:rPr>
          <w:rFonts w:ascii="Calibri" w:cs="Calibri" w:eastAsia="Calibri" w:hAnsi="Calibri"/>
          <w:sz w:val="21"/>
          <w:szCs w:val="21"/>
        </w:rPr>
        <w:t xml:space="preserve">Détection périmée (données trop vieilles) → arrêt (ACTION_STALE).</w:t>
      </w:r>
    </w:p>
    <w:p>
      <w:pPr>
        <w:pStyle w:val="ListParagraph"/>
        <w:numPr>
          <w:ilvl w:val="0"/>
          <w:numId w:val="1"/>
        </w:numPr>
        <w:spacing w:after="40" w:line="264"/>
      </w:pPr>
      <w:r>
        <w:rPr>
          <w:rFonts w:ascii="Calibri" w:cs="Calibri" w:eastAsia="Calibri" w:hAnsi="Calibri"/>
          <w:sz w:val="21"/>
          <w:szCs w:val="21"/>
        </w:rPr>
        <w:t xml:space="preserve">Confiance de détection trop faible → arrêt (LOW_CONFIDENCE).</w:t>
      </w:r>
    </w:p>
    <w:p>
      <w:pPr>
        <w:pStyle w:val="ListParagraph"/>
        <w:numPr>
          <w:ilvl w:val="0"/>
          <w:numId w:val="1"/>
        </w:numPr>
        <w:spacing w:after="40" w:line="264"/>
      </w:pPr>
      <w:r>
        <w:rPr>
          <w:rFonts w:ascii="Calibri" w:cs="Calibri" w:eastAsia="Calibri" w:hAnsi="Calibri"/>
          <w:sz w:val="21"/>
          <w:szCs w:val="21"/>
        </w:rPr>
        <w:t xml:space="preserve">Cible atteinte → maintien sans micro-tremblements (HOLD_DEADBAND).</w:t>
      </w:r>
    </w:p>
    <w:p>
      <w:pPr>
        <w:pStyle w:val="ListParagraph"/>
        <w:numPr>
          <w:ilvl w:val="0"/>
          <w:numId w:val="1"/>
        </w:numPr>
        <w:spacing w:after="40" w:line="264"/>
      </w:pPr>
      <w:r>
        <w:rPr>
          <w:rFonts w:ascii="Calibri" w:cs="Calibri" w:eastAsia="Calibri" w:hAnsi="Calibri"/>
          <w:sz w:val="21"/>
          <w:szCs w:val="21"/>
        </w:rPr>
        <w:t xml:space="preserve">Valeur numérique corrompue (NaN/∞) → arrêt (fail-safe).</w:t>
      </w:r>
    </w:p>
    <w:p>
      <w:pPr>
        <w:pStyle w:val="ListParagraph"/>
        <w:numPr>
          <w:ilvl w:val="0"/>
          <w:numId w:val="1"/>
        </w:numPr>
        <w:spacing w:after="40" w:line="264"/>
      </w:pPr>
      <w:r>
        <w:rPr>
          <w:rFonts w:ascii="Calibri" w:cs="Calibri" w:eastAsia="Calibri" w:hAnsi="Calibri"/>
          <w:sz w:val="21"/>
          <w:szCs w:val="21"/>
        </w:rPr>
        <w:t xml:space="preserve">La vitesse reste bornée au maximum autorisé, et l'accélération est limitée (aucun à-coup brutal).</w:t>
      </w:r>
    </w:p>
    <w:p>
      <w:pPr>
        <w:spacing w:after="80" w:line="272"/>
      </w:pPr>
      <w:r>
        <w:rPr>
          <w:rFonts w:ascii="Calibri" w:cs="Calibri" w:eastAsia="Calibri" w:hAnsi="Calibri"/>
          <w:sz w:val="21"/>
          <w:szCs w:val="21"/>
        </w:rPr>
        <w:t xml:space="preserve">Lien sécurité : ces tests correspondent aux barrières validées au sol E-06/E-07 (perte vidéo → arrêt). Ils démontrent en logiciel que la commande ne peut pas emballer le drone sur une donnée absente ou fausse.</w:t>
      </w:r>
    </w:p>
    <w:p>
      <w:pPr>
        <w:pStyle w:val="Heading3"/>
        <w:spacing w:after="70" w:before="130"/>
      </w:pPr>
      <w:r>
        <w:rPr>
          <w:rFonts w:ascii="Calibri" w:cs="Calibri" w:eastAsia="Calibri" w:hAnsi="Calibri"/>
          <w:b/>
          <w:bCs/>
          <w:color w:val="1F3864"/>
        </w:rPr>
        <w:t xml:space="preserve">Choix de l'altitude (SoccerAltitudePlannerTest — 12 tests)</w:t>
      </w:r>
    </w:p>
    <w:p>
      <w:pPr>
        <w:spacing w:after="80" w:line="272"/>
      </w:pPr>
      <w:r>
        <w:rPr>
          <w:rFonts w:ascii="Calibri" w:cs="Calibri" w:eastAsia="Calibri" w:hAnsi="Calibri"/>
          <w:sz w:val="21"/>
          <w:szCs w:val="21"/>
        </w:rPr>
        <w:t xml:space="preserve">Prouve que l'altitude visée reste TOUJOURS maîtrisée :</w:t>
      </w:r>
    </w:p>
    <w:p>
      <w:pPr>
        <w:pStyle w:val="ListParagraph"/>
        <w:numPr>
          <w:ilvl w:val="0"/>
          <w:numId w:val="1"/>
        </w:numPr>
        <w:spacing w:after="40" w:line="264"/>
      </w:pPr>
      <w:r>
        <w:rPr>
          <w:rFonts w:ascii="Calibri" w:cs="Calibri" w:eastAsia="Calibri" w:hAnsi="Calibri"/>
          <w:sz w:val="21"/>
          <w:szCs w:val="21"/>
        </w:rPr>
        <w:t xml:space="preserve">L'altitude calculée reste dans la plage autorisée par la phase de jeu — jamais au-dessus du plafond.</w:t>
      </w:r>
    </w:p>
    <w:p>
      <w:pPr>
        <w:pStyle w:val="ListParagraph"/>
        <w:numPr>
          <w:ilvl w:val="0"/>
          <w:numId w:val="1"/>
        </w:numPr>
        <w:spacing w:after="40" w:line="264"/>
      </w:pPr>
      <w:r>
        <w:rPr>
          <w:rFonts w:ascii="Calibri" w:cs="Calibri" w:eastAsia="Calibri" w:hAnsi="Calibri"/>
          <w:sz w:val="21"/>
          <w:szCs w:val="21"/>
        </w:rPr>
        <w:t xml:space="preserve">Des joueurs plus grands à l'écran (drone trop bas) font monter ; plus petits, descendre — de façon bornée.</w:t>
      </w:r>
    </w:p>
    <w:p>
      <w:pPr>
        <w:pStyle w:val="ListParagraph"/>
        <w:numPr>
          <w:ilvl w:val="0"/>
          <w:numId w:val="1"/>
        </w:numPr>
        <w:spacing w:after="40" w:line="264"/>
      </w:pPr>
      <w:r>
        <w:rPr>
          <w:rFonts w:ascii="Calibri" w:cs="Calibri" w:eastAsia="Calibri" w:hAnsi="Calibri"/>
          <w:sz w:val="21"/>
          <w:szCs w:val="21"/>
        </w:rPr>
        <w:t xml:space="preserve">Toute valeur corrompue est neutralisée (pas de saut d'altitude aberrant).</w:t>
      </w:r>
    </w:p>
    <w:p>
      <w:pPr>
        <w:pStyle w:val="ListParagraph"/>
        <w:numPr>
          <w:ilvl w:val="0"/>
          <w:numId w:val="1"/>
        </w:numPr>
        <w:spacing w:after="40" w:line="264"/>
      </w:pPr>
      <w:r>
        <w:rPr>
          <w:rFonts w:ascii="Calibri" w:cs="Calibri" w:eastAsia="Calibri" w:hAnsi="Calibri"/>
          <w:sz w:val="21"/>
          <w:szCs w:val="21"/>
        </w:rPr>
        <w:t xml:space="preserve">Le changement d'altitude est lissé : pas de montée ni descente brutale.</w:t>
      </w:r>
    </w:p>
    <w:p>
      <w:pPr>
        <w:spacing w:after="80" w:line="272"/>
      </w:pPr>
      <w:r>
        <w:rPr>
          <w:rFonts w:ascii="Calibri" w:cs="Calibri" w:eastAsia="Calibri" w:hAnsi="Calibri"/>
          <w:sz w:val="21"/>
          <w:szCs w:val="21"/>
        </w:rPr>
        <w:t xml:space="preserve">Lien sécurité : garantit que l'axe throttle (le seul émis en Essai 1) ne peut pas commander une altitude hors des bornes de sécurité.</w:t>
      </w:r>
    </w:p>
    <w:p>
      <w:pPr>
        <w:pStyle w:val="Heading3"/>
        <w:spacing w:after="70" w:before="130"/>
      </w:pPr>
      <w:r>
        <w:rPr>
          <w:rFonts w:ascii="Calibri" w:cs="Calibri" w:eastAsia="Calibri" w:hAnsi="Calibri"/>
          <w:b/>
          <w:bCs/>
          <w:color w:val="1F3864"/>
        </w:rPr>
        <w:t xml:space="preserve">Orientation caméra/nacelle (SoccerCameraAimTest — 12 tests)</w:t>
      </w:r>
    </w:p>
    <w:p>
      <w:pPr>
        <w:spacing w:after="80" w:line="272"/>
      </w:pPr>
      <w:r>
        <w:rPr>
          <w:rFonts w:ascii="Calibri" w:cs="Calibri" w:eastAsia="Calibri" w:hAnsi="Calibri"/>
          <w:sz w:val="21"/>
          <w:szCs w:val="21"/>
        </w:rPr>
        <w:t xml:space="preserve">Prouve que le suivi de l'action est doux et robuste :</w:t>
      </w:r>
    </w:p>
    <w:p>
      <w:pPr>
        <w:pStyle w:val="ListParagraph"/>
        <w:numPr>
          <w:ilvl w:val="0"/>
          <w:numId w:val="1"/>
        </w:numPr>
        <w:spacing w:after="40" w:line="264"/>
      </w:pPr>
      <w:r>
        <w:rPr>
          <w:rFonts w:ascii="Calibri" w:cs="Calibri" w:eastAsia="Calibri" w:hAnsi="Calibri"/>
          <w:sz w:val="21"/>
          <w:szCs w:val="21"/>
        </w:rPr>
        <w:t xml:space="preserve">Petit écart → seule la nacelle bouge (mouvement doux, pas de rotation du drone).</w:t>
      </w:r>
    </w:p>
    <w:p>
      <w:pPr>
        <w:pStyle w:val="ListParagraph"/>
        <w:numPr>
          <w:ilvl w:val="0"/>
          <w:numId w:val="1"/>
        </w:numPr>
        <w:spacing w:after="40" w:line="264"/>
      </w:pPr>
      <w:r>
        <w:rPr>
          <w:rFonts w:ascii="Calibri" w:cs="Calibri" w:eastAsia="Calibri" w:hAnsi="Calibri"/>
          <w:sz w:val="21"/>
          <w:szCs w:val="21"/>
        </w:rPr>
        <w:t xml:space="preserve">Grand écart → rotation du drone autorisée, mais bornée en vitesse.</w:t>
      </w:r>
    </w:p>
    <w:p>
      <w:pPr>
        <w:pStyle w:val="ListParagraph"/>
        <w:numPr>
          <w:ilvl w:val="0"/>
          <w:numId w:val="1"/>
        </w:numPr>
        <w:spacing w:after="40" w:line="264"/>
      </w:pPr>
      <w:r>
        <w:rPr>
          <w:rFonts w:ascii="Calibri" w:cs="Calibri" w:eastAsia="Calibri" w:hAnsi="Calibri"/>
          <w:sz w:val="21"/>
          <w:szCs w:val="21"/>
        </w:rPr>
        <w:t xml:space="preserve">Règle « lead room » : espace laissé devant la direction du jeu (cadrage cinéma).</w:t>
      </w:r>
    </w:p>
    <w:p>
      <w:pPr>
        <w:pStyle w:val="ListParagraph"/>
        <w:numPr>
          <w:ilvl w:val="0"/>
          <w:numId w:val="1"/>
        </w:numPr>
        <w:spacing w:after="40" w:line="264"/>
      </w:pPr>
      <w:r>
        <w:rPr>
          <w:rFonts w:ascii="Calibri" w:cs="Calibri" w:eastAsia="Calibri" w:hAnsi="Calibri"/>
          <w:sz w:val="21"/>
          <w:szCs w:val="21"/>
        </w:rPr>
        <w:t xml:space="preserve">Valeur corrompue → la caméra reste centrée au lieu de partir n'importe où.</w:t>
      </w:r>
    </w:p>
    <w:p>
      <w:pPr>
        <w:spacing w:after="80" w:line="272"/>
      </w:pPr>
      <w:r>
        <w:rPr>
          <w:rFonts w:ascii="Calibri" w:cs="Calibri" w:eastAsia="Calibri" w:hAnsi="Calibri"/>
          <w:sz w:val="21"/>
          <w:szCs w:val="21"/>
        </w:rPr>
        <w:t xml:space="preserve">Lien sécurité : une caméra qui vise mal peut faire perdre le sujet ; ces tests bornent le mouvement et neutralisent les entrées invalides.</w:t>
      </w:r>
    </w:p>
    <w:p>
      <w:pPr>
        <w:pStyle w:val="Heading3"/>
        <w:spacing w:after="70" w:before="130"/>
      </w:pPr>
      <w:r>
        <w:rPr>
          <w:rFonts w:ascii="Calibri" w:cs="Calibri" w:eastAsia="Calibri" w:hAnsi="Calibri"/>
          <w:b/>
          <w:bCs/>
          <w:color w:val="1F3864"/>
        </w:rPr>
        <w:t xml:space="preserve">Largeur de cadrage (SoccerPlanWidthTest — 13 tests)</w:t>
      </w:r>
    </w:p>
    <w:p>
      <w:pPr>
        <w:spacing w:after="80" w:line="272"/>
      </w:pPr>
      <w:r>
        <w:rPr>
          <w:rFonts w:ascii="Calibri" w:cs="Calibri" w:eastAsia="Calibri" w:hAnsi="Calibri"/>
          <w:sz w:val="21"/>
          <w:szCs w:val="21"/>
        </w:rPr>
        <w:t xml:space="preserve">Prouve que le choix du plan (large/moyen/rapproché) est stable :</w:t>
      </w:r>
    </w:p>
    <w:p>
      <w:pPr>
        <w:pStyle w:val="ListParagraph"/>
        <w:numPr>
          <w:ilvl w:val="0"/>
          <w:numId w:val="1"/>
        </w:numPr>
        <w:spacing w:after="40" w:line="264"/>
      </w:pPr>
      <w:r>
        <w:rPr>
          <w:rFonts w:ascii="Calibri" w:cs="Calibri" w:eastAsia="Calibri" w:hAnsi="Calibri"/>
          <w:sz w:val="21"/>
          <w:szCs w:val="21"/>
        </w:rPr>
        <w:t xml:space="preserve">Toutes les transitions entre plans sont exercées, dans les deux sens.</w:t>
      </w:r>
    </w:p>
    <w:p>
      <w:pPr>
        <w:pStyle w:val="ListParagraph"/>
        <w:numPr>
          <w:ilvl w:val="0"/>
          <w:numId w:val="1"/>
        </w:numPr>
        <w:spacing w:after="40" w:line="264"/>
      </w:pPr>
      <w:r>
        <w:rPr>
          <w:rFonts w:ascii="Calibri" w:cs="Calibri" w:eastAsia="Calibri" w:hAnsi="Calibri"/>
          <w:sz w:val="21"/>
          <w:szCs w:val="21"/>
        </w:rPr>
        <w:t xml:space="preserve">L'hystérésis empêche le « yo-yo » (changement brusque de cadrage à chaque image).</w:t>
      </w:r>
    </w:p>
    <w:p>
      <w:pPr>
        <w:pStyle w:val="ListParagraph"/>
        <w:numPr>
          <w:ilvl w:val="0"/>
          <w:numId w:val="1"/>
        </w:numPr>
        <w:spacing w:after="40" w:line="264"/>
      </w:pPr>
      <w:r>
        <w:rPr>
          <w:rFonts w:ascii="Calibri" w:cs="Calibri" w:eastAsia="Calibri" w:hAnsi="Calibri"/>
          <w:sz w:val="21"/>
          <w:szCs w:val="21"/>
        </w:rPr>
        <w:t xml:space="preserve">Dans le doute (incertitude forte), le système ÉLARGIT toujours — choix conservateur pour ne pas perdre de joueurs.</w:t>
      </w:r>
    </w:p>
    <w:p>
      <w:pPr>
        <w:spacing w:after="80" w:line="272"/>
      </w:pPr>
      <w:r>
        <w:rPr>
          <w:rFonts w:ascii="Calibri" w:cs="Calibri" w:eastAsia="Calibri" w:hAnsi="Calibri"/>
          <w:sz w:val="21"/>
          <w:szCs w:val="21"/>
        </w:rPr>
        <w:t xml:space="preserve">Lien sécurité : un cadrage instable pourrait provoquer des mouvements caméra saccadés ; ce composant décide prudemment.</w:t>
      </w:r>
    </w:p>
    <w:p>
      <w:pPr>
        <w:pStyle w:val="Heading3"/>
        <w:spacing w:after="70" w:before="130"/>
      </w:pPr>
      <w:r>
        <w:rPr>
          <w:rFonts w:ascii="Calibri" w:cs="Calibri" w:eastAsia="Calibri" w:hAnsi="Calibri"/>
          <w:b/>
          <w:bCs/>
          <w:color w:val="1F3864"/>
        </w:rPr>
        <w:t xml:space="preserve">Seuils de sécurité gravés (SafetyLimitsTest — 10 tests)</w:t>
      </w:r>
    </w:p>
    <w:p>
      <w:pPr>
        <w:spacing w:after="80" w:line="272"/>
      </w:pPr>
      <w:r>
        <w:rPr>
          <w:rFonts w:ascii="Calibri" w:cs="Calibri" w:eastAsia="Calibri" w:hAnsi="Calibri"/>
          <w:sz w:val="21"/>
          <w:szCs w:val="21"/>
        </w:rPr>
        <w:t xml:space="preserve">Prouve que les seuils de sécurité ne peuvent pas être modifiés par inadvertance :</w:t>
      </w:r>
    </w:p>
    <w:p>
      <w:pPr>
        <w:pStyle w:val="ListParagraph"/>
        <w:numPr>
          <w:ilvl w:val="0"/>
          <w:numId w:val="1"/>
        </w:numPr>
        <w:spacing w:after="40" w:line="264"/>
      </w:pPr>
      <w:r>
        <w:rPr>
          <w:rFonts w:ascii="Calibri" w:cs="Calibri" w:eastAsia="Calibri" w:hAnsi="Calibri"/>
          <w:sz w:val="21"/>
          <w:szCs w:val="21"/>
        </w:rPr>
        <w:t xml:space="preserve">Les valeurs clés sont figées : fraîcheur YOLO 600 ms, watchdog 500 ms, batterie 40 %, buffer 16,2 m, plafond opérationnel 35 m, etc.</w:t>
      </w:r>
    </w:p>
    <w:p>
      <w:pPr>
        <w:pStyle w:val="ListParagraph"/>
        <w:numPr>
          <w:ilvl w:val="0"/>
          <w:numId w:val="1"/>
        </w:numPr>
        <w:spacing w:after="40" w:line="264"/>
      </w:pPr>
      <w:r>
        <w:rPr>
          <w:rFonts w:ascii="Calibri" w:cs="Calibri" w:eastAsia="Calibri" w:hAnsi="Calibri"/>
          <w:sz w:val="21"/>
          <w:szCs w:val="21"/>
        </w:rPr>
        <w:t xml:space="preserve">Toute modification d'un seuil casse immédiatement un test → revue obligatoire + re-test E-01..E-12 + mise à jour du dossier.</w:t>
      </w:r>
    </w:p>
    <w:p>
      <w:pPr>
        <w:spacing w:after="80" w:line="272"/>
      </w:pPr>
      <w:r>
        <w:rPr>
          <w:rFonts w:ascii="Calibri" w:cs="Calibri" w:eastAsia="Calibri" w:hAnsi="Calibri"/>
          <w:sz w:val="21"/>
          <w:szCs w:val="21"/>
        </w:rPr>
        <w:t xml:space="preserve">Lien sécurité : garde-fou contre les modifications accidentelles des paramètres qui gouvernent les barrières.</w:t>
      </w:r>
    </w:p>
    <w:p>
      <w:pPr>
        <w:pStyle w:val="Heading3"/>
        <w:spacing w:after="70" w:before="130"/>
      </w:pPr>
      <w:r>
        <w:rPr>
          <w:rFonts w:ascii="Calibri" w:cs="Calibri" w:eastAsia="Calibri" w:hAnsi="Calibri"/>
          <w:b/>
          <w:bCs/>
          <w:color w:val="1F3864"/>
        </w:rPr>
        <w:t xml:space="preserve">Synthèse</w:t>
      </w:r>
    </w:p>
    <w:p>
      <w:pPr>
        <w:spacing w:after="80" w:line="272"/>
      </w:pPr>
      <w:r>
        <w:rPr>
          <w:rFonts w:ascii="Calibri" w:cs="Calibri" w:eastAsia="Calibri" w:hAnsi="Calibri"/>
          <w:b/>
          <w:bCs/>
          <w:sz w:val="21"/>
          <w:szCs w:val="21"/>
        </w:rPr>
        <w:t xml:space="preserve">Au total, 696 cas de test automatisés couvrent le cœur logiciel de sécurité, dont les composants critiques sont fortement testés : arbitre (FlightCommandArbiter, 23 cas), double verrou (Emission2DGuard, 25), watchdog (13), mapping des axes (10), contrôleur d'altitude (10). La couverture mesurée du package soccer est de 86 % (instructions), 87 % (lignes), 71,6 % (branches). Ces tests transforment « le code devrait faire cela » en « le code fait cela, prouvé automatiquement » — c'est la preuve logicielle des barrières, à créditer sur la LOGIQUE (le crédit opérationnel plein exigeant la démonstration en vol, §10quater S.5).</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(EXIGENCE BLOQUANTE) : </w:t>
      </w:r>
      <w:r>
        <w:rPr>
          <w:rFonts w:ascii="Calibri" w:cs="Calibri" w:eastAsia="Calibri" w:hAnsi="Calibri"/>
          <w:sz w:val="21"/>
          <w:szCs w:val="21"/>
        </w:rPr>
        <w:t xml:space="preserve">le watchdog actuel détecte certains dépassements de délai tant que son fil continue de s'exécuter. Il ne détecte PAS un gel total de ce fil et ne démontre PAS la neutralisation de la dernière commande Virtual Stick. Un mécanisme indépendant capable de désarmer le mode, neutraliser la commande et demander la sortie du Virtual Stick est requis avant toute émission réelle (NC-T2-005). Watchdog inter-thread STRICTEMENT indépendant = EXIGENCE BLOQUANTE (REQ-WDG-001).</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sz w:val="21"/>
          <w:szCs w:val="21"/>
        </w:rPr>
        <w:t xml:space="preserve">STATUT (2026-07-20) : watchdog de CYCLE implémenté et testé (CommandeWatchdog : heartbeat par cycle, throttle 0 si battement &gt; 500 ms, horloge monotone, fail-closed, 13 cas). FONCTION DÉMONTRÉE : détection d'un cycle trop ancien (battement &gt; 500 ms → consigne forcée à zéro) tant que le fil du watchdog s'exécute. LIMITE : le battement et la vérification vivent dans le MÊME fil — un gel TOTAL de ce fil n'est PAS détecté, et rien ne démontre la neutralisation physique de la dernière commande Virtual Stick. EXIGENCE OUVERTE (REQ-WDG-001, BLOQUANTE avant toute émission réelle) : mécanisme sur thread STRICTEMENT indépendant, capable de désarmer le mode, neutraliser la commande et demander la sortie du Virtual Stick ; mesurer aussi la tenue en fréquence dans la durée (thermique Android).</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condition APPLICABLE de l'arbitre est fausse (fail-closed) : 8 conditions en baseline altitude (gate hors périmètre, v51) ; 9 sur le chemin horizontal.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sz w:val="21"/>
          <w:szCs w:val="21"/>
        </w:rPr>
        <w:t xml:space="preserve">PARTIELLEMENT RENSEIGNÉ (2026-07-20) : les exigences clés sont reliées à leurs preuves — REQ-CTRL-SIGN-001 (signe, E-01a/b + test unitaire), barrière perte vidéo (E-06/07), arrêt/perte RC (E-08/E-09), watchdog (CommandeWatchdogTest). RESTE : étendre formellement la matrice de traçabilité danger → REQ → barrière → test → preuve pour l'ensemble des lignes, et la compléter après les essais en vol.</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 tests directs + défaut inerte (13 dans l'ancien rapport historique)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§9.3.10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sz w:val="21"/>
          <w:szCs w:val="21"/>
        </w:rPr>
        <w:t xml:space="preserve">RENSEIGNÉ (2026-07-20) : fait — fiches ALARP déclinées pour les 4 dangers ÉLEVÉS (§6.4 : HAZ-44, HAZ-19, HAZ-39, HAZ-40) et pour les dangers MOYENS (§6.5 : HAZ-17, 21, 33, 37, 47). Principe respecté : AUCUN risque élevé n'est accepté avant démonstration des barrières (les 4 restent 'Moyen (logique)' ou 'Moyen à Élevé' tant que le vol/exercice ne sont pas faits).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prévoir 30 OU 60 jours ouvrables selon la classification retenue par TC (événement annoncé standard : 30 j ouvrables ; complexité moyenne/haute : 60 j ouvrables), à compter d'un dossier complet et des frais requis.</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Watchdog de CYCLE — FAIT (CommandeWatchdog : force la consigne à zéro sur perte de cycle, TANT QUE son propre fil s'exécute). Il ne détecte pas un gel total de ce fil et ne démontre pas la neutralisation physique de la dernière commande Virtual Stick. Watchdog sur thread STRICTEMENT INDÉPENDANT, capable de désarmer le mode, neutraliser la commande et demander la sortie du Virtual Stick = EXIGENCE BLOQUANTE (REQ-WDG-001) avant toute émission réelle — À FAIRE.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§4.2).</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À CONFIRMER PAR L'EXPLOITANT :.</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montant applicable sera celui EN VIGUEUR et CONFIRMÉ par Transports Canada au dépôt. Ne pas présumer 75 $ : une chaîne logicielle capable d'émettre des commandes peut entraîner une classification de complexité supérieure (900 $ ou 2 000 $). La grille 20/75/900/2000 $ (2025) est indicative.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(§6.4).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v49 : la page officielle TC formule le critère notamment comme le vol À MOINS DE 30 m des limites de l'événement annoncé ; un RPAS maintenu à au moins 30 m de ces limites n'est pas nécessairement considéré comme volant « à l'événement » pour ce seul motif. Le périmètre officiel doit être cartographié et la distance calculée ; le scénario conservateur (SFOC demandé) reste retenu tant que cette démonstration n'est pas faite et confirmée par écrit par TC pour le scénario précis.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p>
      <w:pPr>
        <w:pStyle w:val="Heading1"/>
        <w:spacing w:after="140" w:before="200"/>
      </w:pPr>
      <w:r>
        <w:rPr>
          <w:rFonts w:ascii="Calibri" w:cs="Calibri" w:eastAsia="Calibri" w:hAnsi="Calibri"/>
          <w:b/>
          <w:bCs/>
          <w:color w:val="1F3864"/>
        </w:rPr>
        <w:t xml:space="preserve">Approbation finale du dossier</w:t>
      </w:r>
    </w:p>
    <w:p>
      <w:pPr>
        <w:spacing w:after="80" w:line="276"/>
      </w:pPr>
      <w:r>
        <w:rPr>
          <w:rFonts w:ascii="Calibri" w:cs="Calibri" w:eastAsia="Calibri" w:hAnsi="Calibri"/>
          <w:b/>
          <w:bCs/>
          <w:sz w:val="21"/>
          <w:szCs w:val="21"/>
        </w:rPr>
        <w:t xml:space="preserve">Par leurs signatures, les personnes attestent que le dossier a été rédigé, approuvé et revu de façon indépendante, et que les risques résiduels sont jugés acceptables pour l'opération demandée — SOUS RÉSERVE de la complétion des éléments bloquants (essais en vol, autorisation NAV Drone, pièces administratives).</w:t>
      </w:r>
    </w:p>
    <w:p>
      <w:pPr>
        <w:spacing w:after="20" w:before="120"/>
      </w:pPr>
      <w:r>
        <w:rPr>
          <w:rFonts w:ascii="Calibri" w:hAnsi="Calibri"/>
          <w:b/>
          <w:sz w:val="21"/>
          <w:color w:val="1F3864"/>
        </w:rPr>
        <w:t xml:space="preserve">Auteur</w:t>
      </w:r>
      <w:r>
        <w:rPr>
          <w:rFonts w:ascii="Calibri" w:hAnsi="Calibri"/>
          <w:i/>
          <w:sz w:val="18"/>
          <w:color w:val="666666"/>
        </w:rPr>
        <w:t xml:space="preserve">  (rédacteur du dossier)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(accepte les risques résiduels)</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(distinct de l'auteur ; se prononce sur l'acceptabilité)</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Tant que les essais (fiches d'essai en vol, Annexe B), les pièces administratives et l'analyse d'espace aérien ne sont pas complétés, ce dossier reste une ÉBAUCHE non déposable, quelles que soient les signatures. Après délivrance du SFOC, l'opération NAV Drone acceptée (RPAS Operation Summary) constitue une condition préalable au VOL, non au dépôt initial.</w:t>
      </w:r>
    </w:p>
    <w:p>
      <w:pPr>
        <w:spacing w:before="240" w:after="120"/>
      </w:pPr>
      <w:r>
        <w:rPr>
          <w:rFonts w:ascii="Calibri" w:cs="Calibri" w:eastAsia="Calibri" w:hAnsi="Calibri"/>
          <w:sz w:val="21"/>
          <w:szCs w:val="21"/>
        </w:rPr>
        <w:t xml:space="preserve"> </w:t>
      </w:r>
    </w:p>
    <w:p>
      <w:pPr>
        <w:pStyle w:val="Heading2"/>
        <w:spacing w:after="100" w:before="200"/>
      </w:pPr>
      <w:r>
        <w:rPr>
          <w:rFonts w:ascii="Calibri" w:cs="Calibri" w:eastAsia="Calibri" w:hAnsi="Calibri"/>
          <w:b/>
          <w:bCs/>
          <w:color w:val="1F3864"/>
        </w:rPr>
        <w:t xml:space="preserve">Annexe — Rapport JUnit historique (SUPERSEDED : sous-ensemble soccer 26 classes / 278 cas ; décompte à jour au §7.1)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(v51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