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9.0 — Événement annoncé (corrections documentaires)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(honnête) : </w:t>
      </w:r>
      <w:r>
        <w:rPr>
          <w:rFonts w:ascii="Calibri" w:cs="Calibri" w:eastAsia="Calibri" w:hAnsi="Calibri"/>
          <w:sz w:val="21"/>
          <w:szCs w:val="21"/>
        </w:rPr>
        <w:t xml:space="preserve">les variables partagées sont marquées @Volatile, ce qui assure la VISIBILITÉ INDIVIDUELLE de chaque champ. Cela NE garantit PAS encore la cohérence ATOMIQUE de l'ensemble (plusieurs champs lus séparément peuvent provenir de cycles différents). La publication atomique d'un SafetySnapshot immuable (voir §3.2) est une EXIGENCE BLOQUANTE avant émission réelle ; elle n'est pas encore implémentée. Cette barrière est donc NON IMPLÉMENTÉE à ce jour.</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w:t>
      </w:r>
    </w:p>
    <w:p>
      <w:pPr>
        <w:spacing w:after="100" w:line="276"/>
      </w:pPr>
      <w:r>
        <w:rPr>
          <w:rFonts w:ascii="Calibri" w:cs="Calibri" w:eastAsia="Calibri" w:hAnsi="Calibri"/>
          <w:b/>
          <w:bCs/>
          <w:sz w:val="21"/>
          <w:szCs w:val="21"/>
        </w:rPr>
        <w:t xml:space="preserve">Limite d'une lecture par @Volatile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 C'est une EXIGENCE à renforcer.</w:t>
      </w:r>
    </w:p>
    <w:p>
      <w:pPr>
        <w:spacing w:after="100" w:line="276"/>
      </w:pPr>
      <w:r>
        <w:rPr>
          <w:rFonts w:ascii="Calibri" w:cs="Calibri" w:eastAsia="Calibri" w:hAnsi="Calibri"/>
          <w:sz w:val="21"/>
          <w:szCs w:val="21"/>
        </w:rPr>
        <w:t xml:space="preserve">Mécanisme cible (exigence) : publier un objet SafetySnapshot IMMUABLE de façon atomique (p. ex. AtomicReference), horodaté et estampillé d'un numéro de génération ; l'arbitre rejette tout snapshot dont les composantes ne partagent pas la même génération / dont l'âge dépasse le seuil. À compléter par des TESTS DE CONCURRENCE (pas seulement des tests déterministes).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Confirmer/mettre en place la publication atomique du SafetySnapshot (AtomicReference + génération) et ajouter des tests de concurrence. Classer cet élément comme EXIGENCE tant qu'il n'est pas implémenté et testé.</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(§4.3) sont conçus par rapport à ces personnes non impliquées, y compris les joueurs et arbitres sur le terrain — pas seulement le public en gradins.</w:t>
      </w:r>
    </w:p>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La colonne « résiduel » indique le niveau visé APRÈS atténuation.</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ET DÉMONTRER (E-09) ; VLOS ; procédure §9.3.2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UNIQUEMENT après E-01 réussi</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w:t>
      </w:r>
    </w:p>
    <w:p>
      <w:pPr>
        <w:spacing w:after="100" w:line="276"/>
      </w:pPr>
      <w:r>
        <w:rPr>
          <w:rFonts w:ascii="Calibri" w:cs="Calibri" w:eastAsia="Calibri" w:hAnsi="Calibri"/>
          <w:sz w:val="21"/>
          <w:szCs w:val="21"/>
        </w:rPr>
        <w:t xml:space="preserve">La FMEA (Failure Mode and Effects Analysis) examine, module par module, comment chaque composant peut défaillir, la cause, l'effet, le moyen de détection et la réaction conçue. Elle complète le registre des risques (orienté danger) par une vue orientée composant.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550"/>
        <w:gridCol w:w="1550"/>
        <w:gridCol w:w="1600"/>
        <w:gridCol w:w="1550"/>
        <w:gridCol w:w="161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Cause</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Détection</w:t>
            </w:r>
          </w:p>
        </w:tc>
        <w:tc>
          <w:tcPr>
            <w:tcW w:type="dxa" w:w="161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conçue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Non-détection / fausse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Occlusion, contre-jour</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 ; suivi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 tracker + arbitre → 0 si non fiable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Croisements rapides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Cohérence IoU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Lissage ; centre de groupe robuste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 entrée extrême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Bornage interne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Sorties bornées ; arbitre en aval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NaN / hors plage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invalide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vert.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isFinite / bornes</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Forçage à 0 (NaN-safe) ; vMax</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 mal évalué</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Logique double verrou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13 tests dédiés (Emission2DGuardTest)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mal lue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dangereuse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 exhaustive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priorité pilote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hors polygone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position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Point-dans-polygone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ramenée ; sinon blocage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Interférence/portée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SDK DJI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vidéo</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dégradée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de la frame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périmée → commande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CPU/mémoire/OS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Absence de cycle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une colonne de criticité (RPN = probabilité × gravité × détectabilité) si votre référentiel l'exige, et étendre aux composants propres à votre configuration.</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(v9, ébauche — à finaliser)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sz w:val="21"/>
          <w:szCs w:val="21"/>
        </w:rPr>
        <w:t xml:space="preserve">Éléments considérés OBLIGATOIRES avant d'activer le mode 2D réel (au-delà du double verrou déjà en place) :</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Publication ATOMIQUE du SafetySnapshot (immuable + génération) et tests de concurrence.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Séparation/clarification arbitre rail vs 2D ; preuve que les 9 conditions couvrent le chemin 2D réel.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Arrêt immédiat sur perte de cycle (watchdog).</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Comportement Virtual Stick après cessation caractérisé au banc.</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Reprise pilote MESURÉE (délai réel).</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Signe des 4 axes validé au sol (E-01).</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Journalisation à haute fréquence.</w:t>
      </w:r>
    </w:p>
    <w:p>
      <w:pPr>
        <w:pStyle w:val="ListParagraph"/>
        <w:numPr>
          <w:ilvl w:val="0"/>
          <w:numId w:val="1"/>
        </w:numPr>
        <w:spacing w:after="60" w:line="270"/>
      </w:pPr>
      <w:r>
        <w:rPr>
          <w:rFonts w:ascii="Calibri" w:cs="Calibri" w:eastAsia="Calibri" w:hAnsi="Calibri"/>
          <w:b/>
          <w:bCs/>
          <w:sz w:val="21"/>
          <w:szCs w:val="21"/>
        </w:rPr>
        <w:t xml:space="preserve">11.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12.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(v9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2026-07-20T09:27:40.653Z</dcterms:created>
  <dcterms:modified xsi:type="dcterms:W3CDTF">2026-07-20T09:27:40.653Z</dcterms:modified>
</cp:coreProperties>
</file>

<file path=docProps/custom.xml><?xml version="1.0" encoding="utf-8"?>
<Properties xmlns="http://schemas.openxmlformats.org/officeDocument/2006/custom-properties" xmlns:vt="http://schemas.openxmlformats.org/officeDocument/2006/docPropsVTypes"/>
</file>