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1F3864"/>
          <w:sz w:val="44"/>
          <w:szCs w:val="44"/>
        </w:rPr>
        <w:t xml:space="preserve">CineFlight Soccer</w:t>
      </w:r>
    </w:p>
    <w:p>
      <w:pPr>
        <w:spacing w:after="40"/>
        <w:jc w:val="center"/>
      </w:pPr>
      <w:r>
        <w:rPr>
          <w:rFonts w:ascii="Calibri" w:cs="Calibri" w:eastAsia="Calibri" w:hAnsi="Calibri"/>
          <w:b/>
          <w:bCs/>
          <w:color w:val="2E4A7A"/>
          <w:sz w:val="30"/>
          <w:szCs w:val="30"/>
        </w:rPr>
        <w:t xml:space="preserve">MANDAT DE REVUE INDÉPENDANTE</w:t>
      </w:r>
    </w:p>
    <w:p>
      <w:pPr>
        <w:spacing w:after="300"/>
        <w:jc w:val="center"/>
      </w:pPr>
      <w:r>
        <w:rPr>
          <w:rFonts w:ascii="Calibri" w:cs="Calibri" w:eastAsia="Calibri" w:hAnsi="Calibri"/>
          <w:i/>
          <w:iCs/>
          <w:color w:val="595959"/>
          <w:sz w:val="22"/>
          <w:szCs w:val="22"/>
        </w:rPr>
        <w:t xml:space="preserve">Examen indépendant du code d'émission — porte du JALON A (première émission 2D réelle)</w:t>
      </w:r>
    </w:p>
    <w:p>
      <w:pPr>
        <w:spacing w:after="40"/>
        <w:jc w:val="center"/>
      </w:pPr>
      <w:r>
        <w:rPr>
          <w:rFonts w:ascii="Calibri" w:cs="Calibri" w:eastAsia="Calibri" w:hAnsi="Calibri"/>
          <w:color w:val="595959"/>
          <w:sz w:val="20"/>
          <w:szCs w:val="20"/>
        </w:rPr>
        <w:t xml:space="preserve">Document d'accompagnement du Dossier de sécurité v16</w:t>
      </w:r>
    </w:p>
    <w:p>
      <w:pPr>
        <w:spacing w:after="40"/>
        <w:jc w:val="center"/>
      </w:pPr>
      <w:r>
        <w:rPr>
          <w:rFonts w:ascii="Calibri" w:cs="Calibri" w:eastAsia="Calibri" w:hAnsi="Calibri"/>
          <w:sz w:val="20"/>
          <w:szCs w:val="20"/>
        </w:rPr>
        <w:t xml:space="preserve">Version 1.0 — 2026-07-20</w:t>
      </w:r>
    </w:p>
    <w:p>
      <w:r>
        <w:br w:type="page"/>
      </w:r>
    </w:p>
    <w:p>
      <w:pPr>
        <w:pStyle w:val="Heading1"/>
        <w:spacing w:after="140" w:before="300"/>
      </w:pPr>
      <w:r>
        <w:rPr>
          <w:rFonts w:ascii="Calibri" w:cs="Calibri" w:eastAsia="Calibri" w:hAnsi="Calibri"/>
          <w:b/>
          <w:bCs/>
          <w:color w:val="1F3864"/>
        </w:rPr>
        <w:t xml:space="preserve">1. Objet et portée du mandat</w:t>
      </w:r>
    </w:p>
    <w:p>
      <w:pPr>
        <w:spacing w:after="100" w:line="276"/>
      </w:pPr>
      <w:r>
        <w:rPr>
          <w:rFonts w:ascii="Calibri" w:cs="Calibri" w:eastAsia="Calibri" w:hAnsi="Calibri"/>
          <w:sz w:val="21"/>
          <w:szCs w:val="21"/>
        </w:rPr>
        <w:t xml:space="preserve">Ce document mandate une REVUE INDÉPENDANTE du code responsable de l'émission de commandes de vol dans CineFlight Soccer. Cette revue est une barrière de sécurité obligatoire (feuille de route, Phase 3) : elle doit être réalisée et son rapport signé AVANT toute activation de l'émission 2D réelle (JALON A).</w:t>
      </w:r>
    </w:p>
    <w:p>
      <w:pPr>
        <w:spacing w:after="100" w:line="276"/>
      </w:pPr>
      <w:r>
        <w:rPr>
          <w:rFonts w:ascii="Calibri" w:cs="Calibri" w:eastAsia="Calibri" w:hAnsi="Calibri"/>
          <w:b/>
          <w:bCs/>
          <w:sz w:val="21"/>
          <w:szCs w:val="21"/>
        </w:rPr>
        <w:t xml:space="preserve">Ce que la revue doit établir : </w:t>
      </w:r>
      <w:r>
        <w:rPr>
          <w:rFonts w:ascii="Calibri" w:cs="Calibri" w:eastAsia="Calibri" w:hAnsi="Calibri"/>
          <w:sz w:val="21"/>
          <w:szCs w:val="21"/>
        </w:rPr>
        <w:t xml:space="preserve">qu'aucun chemin logiciel ne permet d'émettre une commande de mouvement non intentionnelle, et que chaque barrière de sécurité fait ce qu'elle prétend faire, avec des tests qui le prouvent.</w:t>
      </w:r>
    </w:p>
    <w:p>
      <w:pPr>
        <w:spacing w:after="100" w:line="276"/>
      </w:pPr>
      <w:r>
        <w:rPr>
          <w:rFonts w:ascii="Calibri" w:cs="Calibri" w:eastAsia="Calibri" w:hAnsi="Calibri"/>
          <w:b/>
          <w:bCs/>
          <w:sz w:val="21"/>
          <w:szCs w:val="21"/>
        </w:rPr>
        <w:t xml:space="preserve">Ce que la revue N'EST PAS : </w:t>
      </w:r>
      <w:r>
        <w:rPr>
          <w:rFonts w:ascii="Calibri" w:cs="Calibri" w:eastAsia="Calibri" w:hAnsi="Calibri"/>
          <w:sz w:val="21"/>
          <w:szCs w:val="21"/>
        </w:rPr>
        <w:t xml:space="preserve">elle ne remplace pas les essais physiques (au sol puis en vol), ni l'analyse du site, ni l'obtention du SFOC. Elle porte uniquement sur le CODE et ses TESTS.</w:t>
      </w:r>
    </w:p>
    <w:p>
      <w:pPr>
        <w:pStyle w:val="Heading1"/>
        <w:spacing w:after="140" w:before="300"/>
      </w:pPr>
      <w:r>
        <w:rPr>
          <w:rFonts w:ascii="Calibri" w:cs="Calibri" w:eastAsia="Calibri" w:hAnsi="Calibri"/>
          <w:b/>
          <w:bCs/>
          <w:color w:val="1F3864"/>
        </w:rPr>
        <w:t xml:space="preserve">2. Exigence d'indépendance du réviseur</w:t>
      </w:r>
    </w:p>
    <w:p>
      <w:pPr>
        <w:spacing w:after="100" w:line="276"/>
      </w:pPr>
      <w:r>
        <w:rPr>
          <w:rFonts w:ascii="Calibri" w:cs="Calibri" w:eastAsia="Calibri" w:hAnsi="Calibri"/>
          <w:sz w:val="21"/>
          <w:szCs w:val="21"/>
        </w:rPr>
        <w:t xml:space="preserve">Le réviseur doit être une personne DISTINCTE de l'auteur du code d'émission et du Safety Case. Cette indépendance est ce qui donne sa valeur à la revue.</w:t>
      </w:r>
    </w:p>
    <w:p>
      <w:pPr>
        <w:pStyle w:val="ListParagraph"/>
        <w:numPr>
          <w:ilvl w:val="0"/>
          <w:numId w:val="1"/>
        </w:numPr>
        <w:spacing w:after="60" w:line="270"/>
      </w:pPr>
      <w:r>
        <w:rPr>
          <w:rFonts w:ascii="Calibri" w:cs="Calibri" w:eastAsia="Calibri" w:hAnsi="Calibri"/>
          <w:sz w:val="21"/>
          <w:szCs w:val="21"/>
        </w:rPr>
        <w:t xml:space="preserve">Compétence requise : lecture de code Kotlin/Android ; notions de concurrence (threads, visibilité mémoire) ; compréhension d'une chaîne de commande de vol.</w:t>
      </w:r>
    </w:p>
    <w:p>
      <w:pPr>
        <w:pStyle w:val="ListParagraph"/>
        <w:numPr>
          <w:ilvl w:val="0"/>
          <w:numId w:val="1"/>
        </w:numPr>
        <w:spacing w:after="60" w:line="270"/>
      </w:pPr>
      <w:r>
        <w:rPr>
          <w:rFonts w:ascii="Calibri" w:cs="Calibri" w:eastAsia="Calibri" w:hAnsi="Calibri"/>
          <w:sz w:val="21"/>
          <w:szCs w:val="21"/>
        </w:rPr>
        <w:t xml:space="preserve">Ne doit pas avoir écrit les composants examinés (arbitre, gardes, snapshot, watchdog).</w:t>
      </w:r>
    </w:p>
    <w:p>
      <w:pPr>
        <w:pStyle w:val="ListParagraph"/>
        <w:numPr>
          <w:ilvl w:val="0"/>
          <w:numId w:val="1"/>
        </w:numPr>
        <w:spacing w:after="60" w:line="270"/>
      </w:pPr>
      <w:r>
        <w:rPr>
          <w:rFonts w:ascii="Calibri" w:cs="Calibri" w:eastAsia="Calibri" w:hAnsi="Calibri"/>
          <w:sz w:val="21"/>
          <w:szCs w:val="21"/>
        </w:rPr>
        <w:t xml:space="preserve">Peut être interne à l'exploitant mais organisationnellement distinct, ou externe.</w:t>
      </w:r>
    </w:p>
    <w:p>
      <w:pPr>
        <w:pStyle w:val="ListParagraph"/>
        <w:numPr>
          <w:ilvl w:val="0"/>
          <w:numId w:val="1"/>
        </w:numPr>
        <w:spacing w:after="60" w:line="270"/>
      </w:pPr>
      <w:r>
        <w:rPr>
          <w:rFonts w:ascii="Calibri" w:cs="Calibri" w:eastAsia="Calibri" w:hAnsi="Calibri"/>
          <w:sz w:val="21"/>
          <w:szCs w:val="21"/>
        </w:rPr>
        <w:t xml:space="preserve">Signe son rapport en son nom propre et engage son jugement professionnel.</w:t>
      </w:r>
    </w:p>
    <w:p>
      <w:pPr>
        <w:spacing w:after="60"/>
      </w:pPr>
      <w:r>
        <w:rPr>
          <w:rFonts w:ascii="Calibri" w:cs="Calibri" w:eastAsia="Calibri" w:hAnsi="Calibri"/>
        </w:rPr>
        <w:t xml:space="preserve"/>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200"/>
        <w:gridCol w:w="6160"/>
      </w:tblGrid>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Réviseur désigné (nom)</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________________________________________________</w:t>
            </w:r>
          </w:p>
        </w:tc>
      </w:tr>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Qualifications / expérience</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________________________________________________</w:t>
            </w:r>
          </w:p>
        </w:tc>
      </w:tr>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Lien avec l'auteur du code</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‹doit être : aucun sur les composants examinés›</w:t>
            </w:r>
          </w:p>
        </w:tc>
      </w:tr>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 de désignation</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________________________________________________</w:t>
            </w:r>
          </w:p>
        </w:tc>
      </w:tr>
    </w:tbl>
    <w:p>
      <w:r>
        <w:br w:type="page"/>
      </w:r>
    </w:p>
    <w:p>
      <w:pPr>
        <w:pStyle w:val="Heading1"/>
        <w:spacing w:after="140" w:before="300"/>
      </w:pPr>
      <w:r>
        <w:rPr>
          <w:rFonts w:ascii="Calibri" w:cs="Calibri" w:eastAsia="Calibri" w:hAnsi="Calibri"/>
          <w:b/>
          <w:bCs/>
          <w:color w:val="1F3864"/>
        </w:rPr>
        <w:t xml:space="preserve">3. Périmètre exact (fichiers à examiner)</w:t>
      </w:r>
    </w:p>
    <w:p>
      <w:pPr>
        <w:spacing w:after="100" w:line="276"/>
      </w:pPr>
      <w:r>
        <w:rPr>
          <w:rFonts w:ascii="Calibri" w:cs="Calibri" w:eastAsia="Calibri" w:hAnsi="Calibri"/>
          <w:sz w:val="21"/>
          <w:szCs w:val="21"/>
        </w:rPr>
        <w:t xml:space="preserve">La revue porte en PRIORITÉ sur les composants de sécurité suivants et leurs tests. Chaque composant est pur (sans SDK) et testable. Le réviseur lit le code de production ET les tests associés.</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400"/>
        <w:gridCol w:w="3200"/>
        <w:gridCol w:w="2760"/>
      </w:tblGrid>
      <w:tr>
        <w:trPr>
          <w:tblHeader/>
        </w:trPr>
        <w:tc>
          <w:tcPr>
            <w:tcW w:type="dxa" w:w="34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Composant (prod)</w:t>
            </w:r>
          </w:p>
        </w:tc>
        <w:tc>
          <w:tcPr>
            <w:tcW w:type="dxa" w:w="32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Rôle de sécurité</w:t>
            </w:r>
          </w:p>
        </w:tc>
        <w:tc>
          <w:tcPr>
            <w:tcW w:type="dxa" w:w="27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Tests associés</w:t>
            </w:r>
          </w:p>
        </w:tc>
      </w:tr>
      <w:tr>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FlightCommandArbiter.kt</w:t>
            </w:r>
          </w:p>
        </w:tc>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Juge unique : priorité pilote, urgence, 9 conditions d'armement, fail-closed</w:t>
            </w:r>
          </w:p>
        </w:tc>
        <w:tc>
          <w:tcPr>
            <w:tcW w:type="dxa" w:w="27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FlightCommandArbiterTest</w:t>
            </w:r>
          </w:p>
        </w:tc>
      </w:tr>
      <w:tr>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Emission2DGuard.kt</w:t>
            </w:r>
          </w:p>
        </w:tc>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Double verrou 2D + passage obligatoire par l'arbitre</w:t>
            </w:r>
          </w:p>
        </w:tc>
        <w:tc>
          <w:tcPr>
            <w:tcW w:type="dxa" w:w="27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Emission2DGuardTest</w:t>
            </w:r>
          </w:p>
        </w:tc>
      </w:tr>
      <w:tr>
        <w:tc>
          <w:tcPr>
            <w:tcW w:type="dxa" w:w="34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SafetySnapshotFactory.kt</w:t>
            </w:r>
          </w:p>
        </w:tc>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Publication ATOMIQUE de l'instantané (immuable + génération)</w:t>
            </w:r>
          </w:p>
        </w:tc>
        <w:tc>
          <w:tcPr>
            <w:tcW w:type="dxa" w:w="27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SafetySnapshotFactoryTest</w:t>
            </w:r>
          </w:p>
        </w:tc>
      </w:tr>
      <w:tr>
        <w:tc>
          <w:tcPr>
            <w:tcW w:type="dxa" w:w="34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CommandeWatchdog.kt</w:t>
            </w:r>
          </w:p>
        </w:tc>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Force le throttle à 0 sur perte de cycle (fail-closed)</w:t>
            </w:r>
          </w:p>
        </w:tc>
        <w:tc>
          <w:tcPr>
            <w:tcW w:type="dxa" w:w="27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CommandeWatchdogTest</w:t>
            </w:r>
          </w:p>
        </w:tc>
      </w:tr>
      <w:tr>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SoccerAltitudeThrottle.kt</w:t>
            </w:r>
          </w:p>
        </w:tc>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Contrôleur altitude→throttle (signe vérifiable)</w:t>
            </w:r>
          </w:p>
        </w:tc>
        <w:tc>
          <w:tcPr>
            <w:tcW w:type="dxa" w:w="27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SoccerAltitudeThrottleTest</w:t>
            </w:r>
          </w:p>
        </w:tc>
      </w:tr>
      <w:tr>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Soccer2DEmissionLog.kt</w:t>
            </w:r>
          </w:p>
        </w:tc>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Journalisation haute fréquence (traçabilité)</w:t>
            </w:r>
          </w:p>
        </w:tc>
        <w:tc>
          <w:tcPr>
            <w:tcW w:type="dxa" w:w="27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Soccer2DEmissionLogTest</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Point d'intégration à examiner dans l'activité : </w:t>
      </w:r>
      <w:r>
        <w:rPr>
          <w:rFonts w:ascii="Calibri" w:cs="Calibri" w:eastAsia="Calibri" w:hAnsi="Calibri"/>
          <w:sz w:val="21"/>
          <w:szCs w:val="21"/>
        </w:rPr>
        <w:t xml:space="preserve">Phase3Activity.kt — la fonction de capture unique du snapshot, le branchement du watchdog dans la boucle d'émission (jobPilote, ~10 Hz), et le point d'émission 2D (emettre2DSoccer). Le réviseur vérifie que la commande émise passe TOUJOURS par l'arbitre et qu'aucun second chemin ne contourne les verrous.</w:t>
      </w:r>
    </w:p>
    <w:p>
      <w:r>
        <w:br w:type="page"/>
      </w:r>
    </w:p>
    <w:p>
      <w:pPr>
        <w:pStyle w:val="Heading1"/>
        <w:spacing w:after="140" w:before="300"/>
      </w:pPr>
      <w:r>
        <w:rPr>
          <w:rFonts w:ascii="Calibri" w:cs="Calibri" w:eastAsia="Calibri" w:hAnsi="Calibri"/>
          <w:b/>
          <w:bCs/>
          <w:color w:val="1F3864"/>
        </w:rPr>
        <w:t xml:space="preserve">4. Critères d'acceptation</w:t>
      </w:r>
    </w:p>
    <w:p>
      <w:pPr>
        <w:spacing w:after="100" w:line="276"/>
      </w:pPr>
      <w:r>
        <w:rPr>
          <w:rFonts w:ascii="Calibri" w:cs="Calibri" w:eastAsia="Calibri" w:hAnsi="Calibri"/>
          <w:sz w:val="21"/>
          <w:szCs w:val="21"/>
        </w:rPr>
        <w:t xml:space="preserve">La revue est ACCEPTÉE seulement si tous les critères ci-dessous sont vérifiés. Chaque critère est coché avec la preuve (fichier, ligne, test) et un commentaire du réviseur.</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600"/>
        <w:gridCol w:w="5400"/>
        <w:gridCol w:w="3360"/>
      </w:tblGrid>
      <w:tr>
        <w:trPr>
          <w:tblHeader/>
        </w:trPr>
        <w:tc>
          <w:tcPr>
            <w:tcW w:type="dxa" w:w="6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w:t>
            </w:r>
          </w:p>
        </w:tc>
        <w:tc>
          <w:tcPr>
            <w:tcW w:type="dxa" w:w="54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Critère</w:t>
            </w:r>
          </w:p>
        </w:tc>
        <w:tc>
          <w:tcPr>
            <w:tcW w:type="dxa" w:w="33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Preuve / fichier / verdict</w:t>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A1</w:t>
            </w:r>
          </w:p>
        </w:tc>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La commande émise passe TOUJOURS par FlightCommandArbiter ; aucun chemin ne l'évite.</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A2</w:t>
            </w:r>
          </w:p>
        </w:tc>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Priorité pilote absolue : pilotOverride écarte toute commande soccer.</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A3</w:t>
            </w:r>
          </w:p>
        </w:tc>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Arrêt d'urgence : emergencyStop force la commande neutre.</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A4</w:t>
            </w:r>
          </w:p>
        </w:tc>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Fail-closed : une seule des 9 conditions fausse → commande neutre (preuve 2⁹).</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A5</w:t>
            </w:r>
          </w:p>
        </w:tc>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Double verrou 2D : flag réel OFF, non armé, ou vMax=0 → jamais d'émission.</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A6</w:t>
            </w:r>
          </w:p>
        </w:tc>
        <w:tc>
          <w:tcPr>
            <w:tcW w:type="dxa" w:w="54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SafetySnapshot publié atomiquement (immuable + génération) ; tests de concurrence présents et verts.</w:t>
            </w:r>
          </w:p>
        </w:tc>
        <w:tc>
          <w:tcPr>
            <w:tcW w:type="dxa" w:w="33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A7</w:t>
            </w:r>
          </w:p>
        </w:tc>
        <w:tc>
          <w:tcPr>
            <w:tcW w:type="dxa" w:w="54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Watchdog : perte/ralentissement de cycle → throttle forcé à 0 ; fail-closed avant tout battement.</w:t>
            </w:r>
          </w:p>
        </w:tc>
        <w:tc>
          <w:tcPr>
            <w:tcW w:type="dxa" w:w="33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A8</w:t>
            </w:r>
          </w:p>
        </w:tc>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Baseline altitude seule : roll/pitch/yaw = 0 reconstruits au point d'émission.</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A9</w:t>
            </w:r>
          </w:p>
        </w:tc>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NaN / valeurs hors bornes → 0 (fail-safe), jamais d'emballement.</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A10</w:t>
            </w:r>
          </w:p>
        </w:tc>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Journalisation : chaque décision reconstituable (génération, conditions, watchdog, throttles).</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A11</w:t>
            </w:r>
          </w:p>
        </w:tc>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Config par défaut du projet = INERTE (flag off, vMax 0) : aucune émission possible en l'état.</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A12</w:t>
            </w:r>
          </w:p>
        </w:tc>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Tous les tests de sécurité soccer passent (suite complète verte).</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bl>
    <w:p>
      <w:r>
        <w:br w:type="page"/>
      </w:r>
    </w:p>
    <w:p>
      <w:pPr>
        <w:pStyle w:val="Heading1"/>
        <w:spacing w:after="140" w:before="300"/>
      </w:pPr>
      <w:r>
        <w:rPr>
          <w:rFonts w:ascii="Calibri" w:cs="Calibri" w:eastAsia="Calibri" w:hAnsi="Calibri"/>
          <w:b/>
          <w:bCs/>
          <w:color w:val="1F3864"/>
        </w:rPr>
        <w:t xml:space="preserve">5. Méthode de revue suggérée</w:t>
      </w:r>
    </w:p>
    <w:p>
      <w:pPr>
        <w:spacing w:after="100" w:line="276"/>
      </w:pPr>
      <w:r>
        <w:rPr>
          <w:rFonts w:ascii="Calibri" w:cs="Calibri" w:eastAsia="Calibri" w:hAnsi="Calibri"/>
          <w:b/>
          <w:bCs/>
          <w:sz w:val="21"/>
          <w:szCs w:val="21"/>
        </w:rPr>
        <w:t xml:space="preserve">Étape 1 — </w:t>
      </w:r>
      <w:r>
        <w:rPr>
          <w:rFonts w:ascii="Calibri" w:cs="Calibri" w:eastAsia="Calibri" w:hAnsi="Calibri"/>
          <w:sz w:val="21"/>
          <w:szCs w:val="21"/>
        </w:rPr>
        <w:t xml:space="preserve">Lire le présent mandat, le Dossier de sécurité v16 (§2.3, §3, §6bis, §10ter, Tome 3) et la feuille de route.</w:t>
      </w:r>
    </w:p>
    <w:p>
      <w:pPr>
        <w:spacing w:after="100" w:line="276"/>
      </w:pPr>
      <w:r>
        <w:rPr>
          <w:rFonts w:ascii="Calibri" w:cs="Calibri" w:eastAsia="Calibri" w:hAnsi="Calibri"/>
          <w:b/>
          <w:bCs/>
          <w:sz w:val="21"/>
          <w:szCs w:val="21"/>
        </w:rPr>
        <w:t xml:space="preserve">Étape 2 — </w:t>
      </w:r>
      <w:r>
        <w:rPr>
          <w:rFonts w:ascii="Calibri" w:cs="Calibri" w:eastAsia="Calibri" w:hAnsi="Calibri"/>
          <w:sz w:val="21"/>
          <w:szCs w:val="21"/>
        </w:rPr>
        <w:t xml:space="preserve">Lire chaque composant du périmètre (§3) puis son test. Pour chaque critère (§4), retrouver la preuve dans le code et le test correspondant.</w:t>
      </w:r>
    </w:p>
    <w:p>
      <w:pPr>
        <w:spacing w:after="100" w:line="276"/>
      </w:pPr>
      <w:r>
        <w:rPr>
          <w:rFonts w:ascii="Calibri" w:cs="Calibri" w:eastAsia="Calibri" w:hAnsi="Calibri"/>
          <w:b/>
          <w:bCs/>
          <w:sz w:val="21"/>
          <w:szCs w:val="21"/>
        </w:rPr>
        <w:t xml:space="preserve">Étape 3 — </w:t>
      </w:r>
      <w:r>
        <w:rPr>
          <w:rFonts w:ascii="Calibri" w:cs="Calibri" w:eastAsia="Calibri" w:hAnsi="Calibri"/>
          <w:sz w:val="21"/>
          <w:szCs w:val="21"/>
        </w:rPr>
        <w:t xml:space="preserve">Exécuter la suite de tests de sécurité et confirmer qu'elle est verte : </w:t>
      </w:r>
    </w:p>
    <w:p>
      <w:pPr>
        <w:spacing w:after="100" w:line="276"/>
      </w:pPr>
      <w:r>
        <w:rPr>
          <w:rFonts w:ascii="Consolas" w:cs="Consolas" w:eastAsia="Consolas" w:hAnsi="Consolas"/>
          <w:color w:val="2E4A7A"/>
          <w:sz w:val="19"/>
          <w:szCs w:val="19"/>
        </w:rPr>
        <w:t xml:space="preserve">    .\gradlew testDebugUnitTest --tests "ca.cineflight.stage.sport.soccer.*"</w:t>
      </w:r>
    </w:p>
    <w:p>
      <w:pPr>
        <w:spacing w:after="100" w:line="276"/>
      </w:pPr>
      <w:r>
        <w:rPr>
          <w:rFonts w:ascii="Calibri" w:cs="Calibri" w:eastAsia="Calibri" w:hAnsi="Calibri"/>
          <w:b/>
          <w:bCs/>
          <w:sz w:val="21"/>
          <w:szCs w:val="21"/>
        </w:rPr>
        <w:t xml:space="preserve">Étape 4 — </w:t>
      </w:r>
      <w:r>
        <w:rPr>
          <w:rFonts w:ascii="Calibri" w:cs="Calibri" w:eastAsia="Calibri" w:hAnsi="Calibri"/>
          <w:sz w:val="21"/>
          <w:szCs w:val="21"/>
        </w:rPr>
        <w:t xml:space="preserve">Chercher activement un contournement : existe-t-il un appel à l'API de vol (envoyerVitesses) qui n'aurait pas traversé l'arbitre ? Une valeur non bornée ? Un état lu hors snapshot ?</w:t>
      </w:r>
    </w:p>
    <w:p>
      <w:pPr>
        <w:spacing w:after="100" w:line="276"/>
      </w:pPr>
      <w:r>
        <w:rPr>
          <w:rFonts w:ascii="Calibri" w:cs="Calibri" w:eastAsia="Calibri" w:hAnsi="Calibri"/>
          <w:b/>
          <w:bCs/>
          <w:sz w:val="21"/>
          <w:szCs w:val="21"/>
        </w:rPr>
        <w:t xml:space="preserve">Étape 5 — </w:t>
      </w:r>
      <w:r>
        <w:rPr>
          <w:rFonts w:ascii="Calibri" w:cs="Calibri" w:eastAsia="Calibri" w:hAnsi="Calibri"/>
          <w:sz w:val="21"/>
          <w:szCs w:val="21"/>
        </w:rPr>
        <w:t xml:space="preserve">Consigner chaque constat (conforme / réserve / anomalie) dans le rapport (§6), avec référence fichier:ligne.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Rappel de contexte utile : </w:t>
      </w:r>
      <w:r>
        <w:rPr>
          <w:rFonts w:ascii="Calibri" w:cs="Calibri" w:eastAsia="Calibri" w:hAnsi="Calibri"/>
          <w:sz w:val="21"/>
          <w:szCs w:val="21"/>
        </w:rPr>
        <w:t xml:space="preserve">l'émission réelle est actuellement désactivée par construction (double verrou fermé : flag réel = false, vMax = 0). La revue prépare l'autorisation FUTURE ; elle doit donc raisonner « si les verrous étaient ouverts, que se passerait-il ? ».</w:t>
      </w:r>
    </w:p>
    <w:p>
      <w:r>
        <w:br w:type="page"/>
      </w:r>
    </w:p>
    <w:p>
      <w:pPr>
        <w:pStyle w:val="Heading1"/>
        <w:spacing w:after="140" w:before="300"/>
      </w:pPr>
      <w:r>
        <w:rPr>
          <w:rFonts w:ascii="Calibri" w:cs="Calibri" w:eastAsia="Calibri" w:hAnsi="Calibri"/>
          <w:b/>
          <w:bCs/>
          <w:color w:val="1F3864"/>
        </w:rPr>
        <w:t xml:space="preserve">6. Rapport de revue (à remplir et signer)</w:t>
      </w:r>
    </w:p>
    <w:p>
      <w:pPr>
        <w:pStyle w:val="Heading2"/>
        <w:spacing w:after="100" w:before="220"/>
      </w:pPr>
      <w:r>
        <w:rPr>
          <w:rFonts w:ascii="Calibri" w:cs="Calibri" w:eastAsia="Calibri" w:hAnsi="Calibri"/>
          <w:b/>
          <w:bCs/>
          <w:color w:val="1F3864"/>
        </w:rPr>
        <w:t xml:space="preserve">6.1 Identification</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200"/>
        <w:gridCol w:w="6160"/>
      </w:tblGrid>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Réviseur (nom)</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________________________________________________</w:t>
            </w:r>
          </w:p>
        </w:tc>
      </w:tr>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 de la revue</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________________________________________________</w:t>
            </w:r>
          </w:p>
        </w:tc>
      </w:tr>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Version logicielle examinée (commit)</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________________________________________________</w:t>
            </w:r>
          </w:p>
        </w:tc>
      </w:tr>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Dossier de sécurité de référence</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v16.0</w:t>
            </w:r>
          </w:p>
        </w:tc>
      </w:tr>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Suite de tests exécutée ? (résultat)</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Verte    ☐ Échecs (détailler en 6.3)</w:t>
            </w:r>
          </w:p>
        </w:tc>
      </w:tr>
    </w:tbl>
    <w:p>
      <w:pPr>
        <w:pStyle w:val="Heading2"/>
        <w:spacing w:after="100" w:before="220"/>
      </w:pPr>
      <w:r>
        <w:rPr>
          <w:rFonts w:ascii="Calibri" w:cs="Calibri" w:eastAsia="Calibri" w:hAnsi="Calibri"/>
          <w:b/>
          <w:bCs/>
          <w:color w:val="1F3864"/>
        </w:rPr>
        <w:t xml:space="preserve">6.2 Verdict global</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9360"/>
      </w:tblGrid>
      <w:tr>
        <w:tc>
          <w:tcPr>
            <w:tcW w:type="dxa" w:w="93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ACCEPTÉ — tous les critères A1–A12 vérifiés, aucune réserve bloquante.</w:t>
            </w:r>
          </w:p>
        </w:tc>
      </w:tr>
      <w:tr>
        <w:tc>
          <w:tcPr>
            <w:tcW w:type="dxa" w:w="9360"/>
            <w:shd w:fill="FCE4D6" w:color="auto" w:val="clear"/>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ACCEPTÉ AVEC RÉSERVES — critères vérifiés sauf réserves non bloquantes listées en 6.3.</w:t>
            </w:r>
          </w:p>
        </w:tc>
      </w:tr>
      <w:tr>
        <w:tc>
          <w:tcPr>
            <w:tcW w:type="dxa" w:w="9360"/>
            <w:shd w:fill="F8CBAD" w:color="auto" w:val="clear"/>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REFUSÉ — au moins une anomalie bloquante ; l'émission réelle ne doit pas être activée.</w:t>
            </w:r>
          </w:p>
        </w:tc>
      </w:tr>
    </w:tbl>
    <w:p>
      <w:pPr>
        <w:pStyle w:val="Heading2"/>
        <w:spacing w:after="100" w:before="220"/>
      </w:pPr>
      <w:r>
        <w:rPr>
          <w:rFonts w:ascii="Calibri" w:cs="Calibri" w:eastAsia="Calibri" w:hAnsi="Calibri"/>
          <w:b/>
          <w:bCs/>
          <w:color w:val="1F3864"/>
        </w:rPr>
        <w:t xml:space="preserve">6.3 Constats détaillés (réserves / anomalies)</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600"/>
        <w:gridCol w:w="2000"/>
        <w:gridCol w:w="5200"/>
        <w:gridCol w:w="1560"/>
      </w:tblGrid>
      <w:tr>
        <w:trPr>
          <w:tblHeader/>
        </w:trPr>
        <w:tc>
          <w:tcPr>
            <w:tcW w:type="dxa" w:w="6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w:t>
            </w:r>
          </w:p>
        </w:tc>
        <w:tc>
          <w:tcPr>
            <w:tcW w:type="dxa" w:w="20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Critère visé</w:t>
            </w:r>
          </w:p>
        </w:tc>
        <w:tc>
          <w:tcPr>
            <w:tcW w:type="dxa" w:w="52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Constat (fichier:ligne, description)</w:t>
            </w:r>
          </w:p>
        </w:tc>
        <w:tc>
          <w:tcPr>
            <w:tcW w:type="dxa" w:w="15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Sévérité</w:t>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1</w:t>
            </w:r>
          </w:p>
        </w:tc>
        <w:tc>
          <w:tcPr>
            <w:tcW w:type="dxa" w:w="2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c>
          <w:tcPr>
            <w:tcW w:type="dxa" w:w="5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c>
          <w:tcPr>
            <w:tcW w:type="dxa" w:w="15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bloq. ☐ mineur</w:t>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2</w:t>
            </w:r>
          </w:p>
        </w:tc>
        <w:tc>
          <w:tcPr>
            <w:tcW w:type="dxa" w:w="2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c>
          <w:tcPr>
            <w:tcW w:type="dxa" w:w="5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c>
          <w:tcPr>
            <w:tcW w:type="dxa" w:w="15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bloq. ☐ mineur</w:t>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3</w:t>
            </w:r>
          </w:p>
        </w:tc>
        <w:tc>
          <w:tcPr>
            <w:tcW w:type="dxa" w:w="2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c>
          <w:tcPr>
            <w:tcW w:type="dxa" w:w="5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c>
          <w:tcPr>
            <w:tcW w:type="dxa" w:w="15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bloq. ☐ mineur</w:t>
            </w:r>
          </w:p>
        </w:tc>
      </w:tr>
      <w:tr>
        <w:tc>
          <w:tcPr>
            <w:tcW w:type="dxa" w:w="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4</w:t>
            </w:r>
          </w:p>
        </w:tc>
        <w:tc>
          <w:tcPr>
            <w:tcW w:type="dxa" w:w="2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c>
          <w:tcPr>
            <w:tcW w:type="dxa" w:w="5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c>
          <w:tcPr>
            <w:tcW w:type="dxa" w:w="15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bloq. ☐ mineur</w:t>
            </w:r>
          </w:p>
        </w:tc>
      </w:tr>
    </w:tbl>
    <w:p>
      <w:pPr>
        <w:pStyle w:val="Heading2"/>
        <w:spacing w:after="100" w:before="220"/>
      </w:pPr>
      <w:r>
        <w:rPr>
          <w:rFonts w:ascii="Calibri" w:cs="Calibri" w:eastAsia="Calibri" w:hAnsi="Calibri"/>
          <w:b/>
          <w:bCs/>
          <w:color w:val="1F3864"/>
        </w:rPr>
        <w:t xml:space="preserve">6.4 Actions correctives requises avant réexamen</w:t>
      </w:r>
    </w:p>
    <w:p>
      <w:pPr>
        <w:spacing w:after="100" w:line="276"/>
      </w:pPr>
      <w:r>
        <w:rPr>
          <w:rFonts w:ascii="Calibri" w:cs="Calibri" w:eastAsia="Calibri" w:hAnsi="Calibri"/>
          <w:sz w:val="21"/>
          <w:szCs w:val="21"/>
        </w:rPr>
        <w:t xml:space="preserve">________________________________________________</w:t>
      </w:r>
    </w:p>
    <w:p>
      <w:pPr>
        <w:spacing w:after="100" w:line="276"/>
      </w:pPr>
      <w:r>
        <w:rPr>
          <w:rFonts w:ascii="Calibri" w:cs="Calibri" w:eastAsia="Calibri" w:hAnsi="Calibri"/>
          <w:sz w:val="21"/>
          <w:szCs w:val="21"/>
        </w:rPr>
        <w:t xml:space="preserve">________________________________________________</w:t>
      </w:r>
    </w:p>
    <w:p>
      <w:pPr>
        <w:pStyle w:val="Heading2"/>
        <w:spacing w:after="100" w:before="220"/>
      </w:pPr>
      <w:r>
        <w:rPr>
          <w:rFonts w:ascii="Calibri" w:cs="Calibri" w:eastAsia="Calibri" w:hAnsi="Calibri"/>
          <w:b/>
          <w:bCs/>
          <w:color w:val="1F3864"/>
        </w:rPr>
        <w:t xml:space="preserve">6.5 Signature</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200"/>
        <w:gridCol w:w="6160"/>
      </w:tblGrid>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Nom du réviseur</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________________________________________________</w:t>
            </w:r>
          </w:p>
        </w:tc>
      </w:tr>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Signature</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________________________________________________</w:t>
            </w:r>
          </w:p>
        </w:tc>
      </w:tr>
      <w:tr>
        <w:tc>
          <w:tcPr>
            <w:tcW w:type="dxa" w:w="32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w:t>
            </w:r>
          </w:p>
        </w:tc>
        <w:tc>
          <w:tcPr>
            <w:tcW w:type="dxa" w:w="61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________________________________________________</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2E7D32"/>
          <w:sz w:val="21"/>
          <w:szCs w:val="21"/>
        </w:rPr>
        <w:t xml:space="preserve">Après acceptation : </w:t>
      </w:r>
      <w:r>
        <w:rPr>
          <w:rFonts w:ascii="Calibri" w:cs="Calibri" w:eastAsia="Calibri" w:hAnsi="Calibri"/>
          <w:sz w:val="21"/>
          <w:szCs w:val="21"/>
        </w:rPr>
        <w:t xml:space="preserve">ce rapport signé est joint au Dossier de sécurité et franchit la porte du JALON A. L'émission 2D réelle ne peut alors être activée que dans les conditions de la Phase 4 (vitesse très basse, altitude seule d'abord, zone sans personne, observateur présent, procédure d'arrêt prête).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Mandat de revue indépendante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CineFlight Soccer — Mandat de revue indépendante</dc:title>
  <dc:creator>CineFlight</dc:creator>
  <cp:lastModifiedBy>Un-named</cp:lastModifiedBy>
  <cp:revision>1</cp:revision>
  <dcterms:created xsi:type="dcterms:W3CDTF">2026-07-20T12:19:09.772Z</dcterms:created>
  <dcterms:modified xsi:type="dcterms:W3CDTF">2026-07-20T12:19:09.772Z</dcterms:modified>
</cp:coreProperties>
</file>

<file path=docProps/custom.xml><?xml version="1.0" encoding="utf-8"?>
<Properties xmlns="http://schemas.openxmlformats.org/officeDocument/2006/custom-properties" xmlns:vt="http://schemas.openxmlformats.org/officeDocument/2006/docPropsVTypes"/>
</file>