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55.0 — Événement annoncé (clarifications finales de prévalidation — analyse v54 appliquée) — 2026-07-20</w:t>
      </w:r>
    </w:p>
    <w:p>
      <w:pPr>
        <w:spacing w:after="40"/>
        <w:jc w:val="center"/>
      </w:pPr>
      <w:r>
        <w:rPr>
          <w:rFonts w:ascii="Calibri" w:cs="Calibri" w:eastAsia="Calibri" w:hAnsi="Calibri"/>
          <w:sz w:val="20"/>
          <w:szCs w:val="20"/>
        </w:rPr>
        <w:t xml:space="preserve">Exploitant : CineFlight ‹dénomination légale à confirmer› · Pilote resp. : ‹NOM de la personne à désigner›</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left w:val="single" w:color="C00000" w:sz="8"/>
          <w:bottom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À CONFIRMER PAR L'EXPLOITANT : exploitant — ‹nom, courriel, téléphone›.</w:t>
      </w:r>
    </w:p>
    <w:p>
      <w:r>
        <w:br w:type="page"/>
      </w:r>
    </w:p>
    <w:p>
      <w:pPr>
        <w:pStyle w:val="Heading1"/>
        <w:spacing w:after="140" w:before="200"/>
      </w:pPr>
      <w:r>
        <w:rPr>
          <w:rFonts w:ascii="Calibri" w:cs="Calibri" w:eastAsia="Calibri" w:hAnsi="Calibri"/>
          <w:b/>
          <w:bCs/>
          <w:color w:val="1F3864"/>
        </w:rPr>
        <w:t xml:space="preserve">Résumé exécutif</w:t>
      </w:r>
    </w:p>
    <w:p>
      <w:pPr>
        <w:spacing w:after="80" w:line="272"/>
      </w:pPr>
      <w:r>
        <w:rPr>
          <w:rFonts w:ascii="Calibri" w:cs="Calibri" w:eastAsia="Calibri" w:hAnsi="Calibri"/>
          <w:sz w:val="21"/>
          <w:szCs w:val="21"/>
        </w:rPr>
        <w:t xml:space="preserve">Ce dossier appuie une demande de SFOC-RPAS pour une captation vidéo aérienne AUTOMATISÉE, sous supervision continue du pilote (VLOS), lors d'un match de soccer annoncé au parc La Fontaine (Montréal). La configuration PRÉVUE place le volume de vol À CÔTÉ du terrain et INTERDIT le survol de personnes — cette séparation reste à confirmer par le relevé et le plan opérationnel final. Baseline demandée : altitude automatisée seule, vitesse verticale ≤ 2 m/s. Le présent résumé donne l'état réel du dossier ; le détail figure dans les sections référencées.</w:t>
      </w:r>
    </w:p>
    <w:p>
      <w:pPr>
        <w:pStyle w:val="Heading2"/>
        <w:spacing w:after="90" w:before="150"/>
      </w:pPr>
      <w:r>
        <w:rPr>
          <w:rFonts w:ascii="Calibri" w:cs="Calibri" w:eastAsia="Calibri" w:hAnsi="Calibri"/>
          <w:b/>
          <w:bCs/>
          <w:color w:val="1F3864"/>
        </w:rPr>
        <w:t xml:space="preserve">Ce qui est DÉMONTRÉ (crédit logique / essais au sol)</w:t>
      </w:r>
    </w:p>
    <w:p>
      <w:pPr>
        <w:pStyle w:val="ListParagraph"/>
        <w:numPr>
          <w:ilvl w:val="0"/>
          <w:numId w:val="1"/>
        </w:numPr>
        <w:spacing w:after="40" w:line="264"/>
      </w:pPr>
      <w:r>
        <w:rPr>
          <w:rFonts w:ascii="Calibri" w:cs="Calibri" w:eastAsia="Calibri" w:hAnsi="Calibri"/>
          <w:sz w:val="21"/>
          <w:szCs w:val="21"/>
        </w:rPr>
        <w:t xml:space="preserve">Signe des commandes : throttle et axes pitch/roll/yaw validés au sol (E-01a/b + test unitaire) — la commande « monter » produit une valeur logicielle positive conforme au contrat de commande — le mouvement physique correspondant reste à confirmer en vol (§6.4 HAZ-44).</w:t>
      </w:r>
    </w:p>
    <w:p>
      <w:pPr>
        <w:pStyle w:val="ListParagraph"/>
        <w:numPr>
          <w:ilvl w:val="0"/>
          <w:numId w:val="1"/>
        </w:numPr>
        <w:spacing w:after="40" w:line="264"/>
      </w:pPr>
      <w:r>
        <w:rPr>
          <w:rFonts w:ascii="Calibri" w:cs="Calibri" w:eastAsia="Calibri" w:hAnsi="Calibri"/>
          <w:sz w:val="21"/>
          <w:szCs w:val="21"/>
        </w:rPr>
        <w:t xml:space="preserve">Barrières de sécurité logicielles validées au sol : perte vidéo/YOLO (défaut trouvé et corrigé, garde d'âge), arrêt d'urgence (E-08), perte de liaison RC (E-09, protection rendue permanente).</w:t>
      </w:r>
    </w:p>
    <w:p>
      <w:pPr>
        <w:pStyle w:val="ListParagraph"/>
        <w:numPr>
          <w:ilvl w:val="0"/>
          <w:numId w:val="1"/>
        </w:numPr>
        <w:spacing w:after="40" w:line="264"/>
      </w:pPr>
      <w:r>
        <w:rPr>
          <w:rFonts w:ascii="Calibri" w:cs="Calibri" w:eastAsia="Calibri" w:hAnsi="Calibri"/>
          <w:sz w:val="21"/>
          <w:szCs w:val="21"/>
        </w:rPr>
        <w:t xml:space="preserve">Architecture fail-closed : l'IA ne commande jamais directement ; un arbitre unique bloque le mouvement dès qu'une condition de sécurité manque. Watchdog de cycle (500 ms) implémenté et testé.</w:t>
      </w:r>
    </w:p>
    <w:p>
      <w:pPr>
        <w:pStyle w:val="ListParagraph"/>
        <w:numPr>
          <w:ilvl w:val="0"/>
          <w:numId w:val="1"/>
        </w:numPr>
        <w:spacing w:after="40" w:line="264"/>
      </w:pPr>
      <w:r>
        <w:rPr>
          <w:rFonts w:ascii="Calibri" w:cs="Calibri" w:eastAsia="Calibri" w:hAnsi="Calibri"/>
          <w:sz w:val="21"/>
          <w:szCs w:val="21"/>
        </w:rPr>
        <w:t xml:space="preserve">Preuve logicielle : 717 cas de test automatisés ; couverture du cœur soccer 86,7 % (instructions) / 72,4 % (branches) ; périmètre sécurité complet (soccer+control) MESURÉ : 40,7 % / 36,2 % — extension exigée avant dépôt. SafetyLimits : SOURCE UNIQUE ACQUISE (v54 — consommateurs migrés, garde anti-réintroduction, CONFIG_ID journalisé à chaque armement).</w:t>
      </w:r>
    </w:p>
    <w:p>
      <w:pPr>
        <w:pStyle w:val="ListParagraph"/>
        <w:numPr>
          <w:ilvl w:val="0"/>
          <w:numId w:val="1"/>
        </w:numPr>
        <w:spacing w:after="40" w:line="264"/>
      </w:pPr>
      <w:r>
        <w:rPr>
          <w:rFonts w:ascii="Calibri" w:cs="Calibri" w:eastAsia="Calibri" w:hAnsi="Calibri"/>
          <w:sz w:val="21"/>
          <w:szCs w:val="21"/>
        </w:rPr>
        <w:t xml:space="preserve">Confinement chiffré : buffer de contingence ~16 m à 2 m/s — VALEUR DE CONCEPTION PROVISOIRE (hypothèses conservatrices proposées mais non démontrées : décélération, latence, persistance de commande, reprise, dérive). Sera qualifié de majorant opérationnel seulement après démonstration en vol. Plan à l'échelle et analyse géométrique (§4.2.1 à §4.2.4).</w:t>
      </w:r>
    </w:p>
    <w:p>
      <w:pPr>
        <w:pStyle w:val="ListParagraph"/>
        <w:numPr>
          <w:ilvl w:val="0"/>
          <w:numId w:val="1"/>
        </w:numPr>
        <w:spacing w:after="40" w:line="264"/>
      </w:pPr>
      <w:r>
        <w:rPr>
          <w:rFonts w:ascii="Calibri" w:cs="Calibri" w:eastAsia="Calibri" w:hAnsi="Calibri"/>
          <w:sz w:val="21"/>
          <w:szCs w:val="21"/>
        </w:rPr>
        <w:t xml:space="preserve">Procédures d'urgence : NEUF procédures d'urgence numérotées (§9.3.1 à §9.3.9), complétées par une section d'autorité et de communications (§9.3.10), couvrant intrusion, perte RC/vidéo/GPS, batterie, VLOS, arrêt d'urgence (§9.3).</w:t>
      </w:r>
    </w:p>
    <w:p>
      <w:pPr>
        <w:pStyle w:val="Heading2"/>
        <w:spacing w:after="90" w:before="150"/>
      </w:pPr>
      <w:r>
        <w:rPr>
          <w:rFonts w:ascii="Calibri" w:cs="Calibri" w:eastAsia="Calibri" w:hAnsi="Calibri"/>
          <w:b/>
          <w:bCs/>
          <w:color w:val="1F3864"/>
        </w:rPr>
        <w:t xml:space="preserve">Ce qui RESTE à faire avant dépôt (crédit opérationnel / vol)</w:t>
      </w:r>
    </w:p>
    <w:p>
      <w:pPr>
        <w:pStyle w:val="ListParagraph"/>
        <w:numPr>
          <w:ilvl w:val="0"/>
          <w:numId w:val="1"/>
        </w:numPr>
        <w:spacing w:after="40" w:line="264"/>
      </w:pPr>
      <w:r>
        <w:rPr>
          <w:rFonts w:ascii="Calibri" w:cs="Calibri" w:eastAsia="Calibri" w:hAnsi="Calibri"/>
          <w:sz w:val="21"/>
          <w:szCs w:val="21"/>
        </w:rPr>
        <w:t xml:space="preserve">Essais EN VOL : confirmer le SENS PHYSIQUE (le drone monte réellement), mesurer le freinage réel et le délai de reprise pilote (E-12), puis VERROUILLER le buffer de confinement.</w:t>
      </w:r>
    </w:p>
    <w:p>
      <w:pPr>
        <w:pStyle w:val="ListParagraph"/>
        <w:numPr>
          <w:ilvl w:val="0"/>
          <w:numId w:val="1"/>
        </w:numPr>
        <w:spacing w:after="40" w:line="264"/>
      </w:pPr>
      <w:r>
        <w:rPr>
          <w:rFonts w:ascii="Calibri" w:cs="Calibri" w:eastAsia="Calibri" w:hAnsi="Calibri"/>
          <w:sz w:val="21"/>
          <w:szCs w:val="21"/>
        </w:rPr>
        <w:t xml:space="preserve">NAV Drone — SÉQUENCE : AVANT le dépôt SFOC, joindre l'analyse d'espace aérien (cartes, coordonnées, volume) et la méthode prévue d'obtention des autorisations. APRÈS délivrance du SFOC et avant chaque opération : créer l'opération dans NAV Drone sous la catégorie appropriée, satisfaire les tâches de permission générées et conserver le RPAS Operation Summary accepté, lorsqu'applicable. Aucun statut d'autorisation n'est présumé.</w:t>
      </w:r>
    </w:p>
    <w:p>
      <w:pPr>
        <w:pStyle w:val="ListParagraph"/>
        <w:numPr>
          <w:ilvl w:val="0"/>
          <w:numId w:val="1"/>
        </w:numPr>
        <w:spacing w:after="40" w:line="264"/>
      </w:pPr>
      <w:r>
        <w:rPr>
          <w:rFonts w:ascii="Calibri" w:cs="Calibri" w:eastAsia="Calibri" w:hAnsi="Calibri"/>
          <w:sz w:val="21"/>
          <w:szCs w:val="21"/>
        </w:rPr>
        <w:t xml:space="preserve">Pièces administratives : l'événement est annoncé au public ; le périmètre officiel de l'événement sera cartographié. La demande retient PROVISOIREMENT le scénario SFOC conservateur ; le fondement « événement annoncé » sera confirmé lorsque la distance minimale entre le volume de vol et les limites de l'événement aura été établie (critère officiel : vol à moins de 30 m des limites). Certificat de pilote et immatriculation : SANS OBJET si la masse opérationnelle du drone reste &lt; 250 g (à confirmer par pesée) ; requis seulement si la masse atteint 250 g ou plus. Attestation d'assurance et autorisations écrites (organisateur, arrondissement) à joindre.</w:t>
      </w:r>
    </w:p>
    <w:p>
      <w:pPr>
        <w:pStyle w:val="ListParagraph"/>
        <w:numPr>
          <w:ilvl w:val="0"/>
          <w:numId w:val="1"/>
        </w:numPr>
        <w:spacing w:after="40" w:line="264"/>
      </w:pPr>
      <w:r>
        <w:rPr>
          <w:rFonts w:ascii="Calibri" w:cs="Calibri" w:eastAsia="Calibri" w:hAnsi="Calibri"/>
          <w:sz w:val="21"/>
          <w:szCs w:val="21"/>
        </w:rPr>
        <w:t xml:space="preserve">Exercice d'intrusion documenté (fiche prête), et clôture ALARP des dangers élevés après démonstration des barrières en vol.</w:t>
      </w:r>
    </w:p>
    <w:p>
      <w:pPr>
        <w:pStyle w:val="Heading2"/>
        <w:spacing w:after="90" w:before="150"/>
      </w:pPr>
      <w:r>
        <w:rPr>
          <w:rFonts w:ascii="Calibri" w:cs="Calibri" w:eastAsia="Calibri" w:hAnsi="Calibri"/>
          <w:b/>
          <w:bCs/>
          <w:color w:val="1F3864"/>
        </w:rPr>
        <w:t xml:space="preserve">Règle d'honnêteté appliquée</w:t>
      </w:r>
    </w:p>
    <w:p>
      <w:pPr>
        <w:spacing w:after="80" w:line="272"/>
      </w:pPr>
      <w:r>
        <w:rPr>
          <w:rFonts w:ascii="Calibri" w:cs="Calibri" w:eastAsia="Calibri" w:hAnsi="Calibri"/>
          <w:b/>
          <w:bCs/>
          <w:sz w:val="21"/>
          <w:szCs w:val="21"/>
        </w:rPr>
        <w:t xml:space="preserve">Conformément à la règle de crédit des barrières (§10quater S.5), aucun élément n'est présenté comme acquis avant sa démonstration. Les essais au sol donnent un crédit sur la LOGIQUE ; le crédit opérationnel PLEIN exige la démonstration en vol. Le statut du dossier est ÉBAUCHE — non déposable en l'état. NOTE : la version, la date, le commit et le hash APK sont pilotés depuis CE tableau (source documentaire unique) ; toute divergence ailleurs dans le dossier est une erreur à corriger. Le dossier deviendra DÉPOSABLE une fois les éléments « en vol » et administratifs complétés et un réviseur indépendant désigné.</w:t>
      </w:r>
    </w:p>
    <w:p>
      <w:pPr>
        <w:spacing w:after="80" w:line="272"/>
      </w:pPr>
      <w:r>
        <w:rPr>
          <w:rFonts w:ascii="Calibri" w:cs="Calibri" w:eastAsia="Calibri" w:hAnsi="Calibri"/>
          <w:sz w:val="21"/>
          <w:szCs w:val="21"/>
        </w:rPr>
        <w:t xml:space="preserve">État d'avancement (statut, non chiffré) : ÉBAUCHE non déposable. DEUX blocages TECHNIQUES empêchent toute ÉMISSION RÉELLE (E-03 au banc — comportement Virtual Stick après cessation, failsafe DJI ET validation sur appareil du watchdog indépendant ; confinement non démontré) ; un seul suffit à rendre l'opération non prête. ATTENTION : ces deux blocages ne concernent que l'ACTIVATION TECHNIQUE — plusieurs blocages OPÉRATIONNELS, ADMINISTRATIFS et ALARP (dont HAZ-17, revue gravité 5 + preuves de maintenance) empêchent EN OUTRE le dépôt du SFOC ; voir §12.2. RÉSOLU en v53 (crédit LOGIQUE) : le watchdog STRICTEMENT INDÉPENDANT (REQ-WDG-001) est IMPLÉMENTÉ et TESTÉ — thread B séparé, 16 cas dont un fil d'émission RÉELLEMENT gelé détecté et mis en sécurité (désarmement + commande neutre + demande de sortie Virtual Stick depuis le fil vivant). RÉSOLU en v51 : le blocage logiciel obstacleGateAllows a été levé PROPREMENT — condition RETIRÉE du chemin de la baseline altitude (pas un false→true), preuve d'indépendance du bit sur les 512 combinaisons, suite complète re-exécutée (717 tests, 0 échec en v54). L'émission RÉELLE sur l'aéronef demeure NON démontrée (SOCCER_2D_REAL_ENABLED=false ; E-03 requis). Voir le tableau détaillé au §0. Les blocs logiciels, l'argument de sécurité, les procédures et le confinement sont les plus avancés (statuts détaillés au tableau du §0 — aucun pourcentage de maturité n'est utilisé) ; les preuves EN VOL et les pièces administratives dépendent d'actions à mener sur le terrain.</w:t>
      </w:r>
    </w:p>
    <w:p>
      <w:pPr>
        <w:pStyle w:val="Heading1"/>
        <w:spacing w:after="140" w:before="200"/>
      </w:pPr>
      <w:r>
        <w:rPr>
          <w:rFonts w:ascii="Calibri" w:cs="Calibri" w:eastAsia="Calibri" w:hAnsi="Calibri"/>
          <w:b/>
          <w:bCs/>
          <w:color w:val="1F3864"/>
        </w:rPr>
        <w:t xml:space="preserve">Page des signatures et approbations</w:t>
      </w:r>
    </w:p>
    <w:p>
      <w:pPr>
        <w:spacing w:after="80" w:line="276"/>
      </w:pPr>
      <w:r>
        <w:rPr>
          <w:rFonts w:ascii="Calibri" w:cs="Calibri" w:eastAsia="Calibri" w:hAnsi="Calibri"/>
          <w:b/>
          <w:bCs/>
          <w:sz w:val="21"/>
          <w:szCs w:val="21"/>
        </w:rPr>
        <w:t xml:space="preserve">Ce dossier n'est déposable qu'une fois signé par les personnes ci-dessous. Aucune signature ne doit être apposée avant que le contenu correspondant soit définitif et véridique. Statut actuel : ÉBAUCHE — non déposable.</w:t>
      </w:r>
    </w:p>
    <w:p>
      <w:pPr>
        <w:spacing w:after="80" w:line="276"/>
      </w:pPr>
      <w:r>
        <w:rPr>
          <w:rFonts w:ascii="Calibri" w:cs="Calibri" w:eastAsia="Calibri" w:hAnsi="Calibri"/>
          <w:b/>
          <w:bCs/>
          <w:sz w:val="21"/>
          <w:szCs w:val="21"/>
        </w:rPr>
        <w:t xml:space="preserve">Signataires requis pour le dépôt :</w:t>
      </w:r>
    </w:p>
    <w:p>
      <w:pPr>
        <w:spacing w:after="20" w:before="120"/>
      </w:pPr>
      <w:r>
        <w:rPr>
          <w:rFonts w:ascii="Calibri" w:hAnsi="Calibri"/>
          <w:b/>
          <w:sz w:val="21"/>
          <w:color w:val="1F3864"/>
        </w:rPr>
        <w:t xml:space="preserve">Auteur du dossier</w:t>
      </w:r>
      <w:r>
        <w:rPr>
          <w:rFonts w:ascii="Calibri" w:hAnsi="Calibri"/>
          <w:i/>
          <w:sz w:val="18"/>
          <w:color w:val="666666"/>
        </w:rPr>
        <w:t xml:space="preserve">  (rédacteur — CineFlight)</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(responsable de l'opération — à désigner)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(OBLIGATOIRE — personne distincte de l'auteur)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Pilote responsable</w:t>
      </w:r>
      <w:r>
        <w:rPr>
          <w:rFonts w:ascii="Calibri" w:hAnsi="Calibri"/>
          <w:i/>
          <w:sz w:val="18"/>
          <w:color w:val="666666"/>
        </w:rPr>
        <w:t xml:space="preserve">  (essais et opération — +1 438 367 6652)</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État des signatures : toutes À OBTENIR. Le réviseur indépendant doit se prononcer sur l'acceptabilité des risques résiduels avant tout dépôt.</w:t>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CF-SC-SOCCER-001 ‹numéro à confirmer par l'exploitant›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55.0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 NOTE : la version, la date, le commit et le hash APK sont pilotés depuis CE tableau (source documentaire unique) ; toute divergence ailleurs dans le dossier est une erreur à corriger.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commits Git : 31c7df7 (retrait obstacleGate) + acf6312 (watchdog indépendant REQ-WDG-001) + bc66b47 (source unique SafetyLimits + JaCoCo périmètre sécurité, v54) — 2026-07-20 ; compileSdk 34 / targetSdk 33 / minSdk 24 ; APK RELEASE signé requis pour la baseline opérationnelle (une version debug ne doit pas servir) ; à produire avec : hash SHA-256, version MSDK, firmware drone+RC, version Android, hash des fichiers YOLO, hash du profil terrain, manifeste des dépendances — À CONSIGNER avant l'opération</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1.0–52.0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Élaboration progressive et corrections d'audit successives (toutes les versions non listées ci-dessous, y compris 42, 44, 45, 47, 48, 50 et 52). Détail COMPLET de chaque version : fichier séparé « Historique_Versions_CineFlight.docx » (archive de traçabilité, 1.0 à 54.0). Le présent tableau ne conserve que les étapes MAJEURES.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AUDIT EXTERNE — CORRECTIONS VAGUES 1-2 : (réglementaire) erreur microdrone corrigée (certificat/immatriculation SANS OBJET &lt;250g), NAV Canada reformulé (créer opération→RPAS Summary), 922.05/06 (déclarations du modèle, sans objet &lt;250g), SFOC multi-opérations, frais confirmés au dépôt. (sécurité) watchdog reclassé BLOQUANT (REQ-WDG-001), hover/RTH 'à démontrer' (E-03), buffer 16,2m requalifié VALEUR PROVISOIRE, buffer vs 30m distingués, fail-open→FAIL-CLOSED JNI, incohérence 15/16,2m levée.</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49.0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v48 APPLIQUÉ : contrôle documentaire unifié (version 49.0 partout, source documentaire unique = tableau de contrôle) ; table des matières générée ; fondement « événement annoncé » qualifié (périmètre cartographié + critère officiel des 30 m des limites de l'événement) ; séquence corrigée SFOC → NAV Drone (analyse d'espace aérien AVANT dépôt ; opération NAV Drone + RPAS Operation Summary APRÈS délivrance, avant chaque opération) ; MANIFESTE RÉEL des preuves logicielles (71 classes / 689 tests / 0 échec, exécution unique du 2026-07-20 ; 278 = rapport historique superseded ; Emission2DGuardTest 25 cas directs) ; formulations hover / « rend la main » / « Virtual Stick coupé » remplacées par des états logiciels à démontrer (E-03/E-12) ; watchdog indépendant réaffirmé BLOQUANT (feuille de route corrigée) ; conclusion buffer réécrite (ni robuste ni défendable ; la mesure peut confirmer, réduire OU augmenter) ; marge forfaitaire 5 m décomposée en termes mesurables ; exigences du plan final listées ; paragraphe JNI réécrit (FAIL-CLOSED, phrase corrigée) ; statut SafetyLimits honnête (migration incomplète, crédit de source unique refusé) ; E-03 défini comme essai de BANC préalable (10 scénarios, configuration figée) ; §9.3 renuméroté en continu (9.3.1-9.3.10) ; champs [EXEMPLE] convertis en « À CONFIRMER PAR L'EXPLOITANT » ; pourcentages de maturité supprimés du corps ; historique 1.0-41.0 déplacé en annexe. BLOCAGES INCHANGÉS : obstacleGateAllows=false, watchdog indépendant, E-03,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51.0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AUDIT v50 APPLIQUÉ — DÉCISIONS EXPLOITANT : baseline UNIQUE Option A (altitude automatisée seule) ; l'application CONSERVE ses deux modes de suivi (RAIL / 2D TERRAIN), déplacements horizontaux VERROUILLÉS pendant les opérations SFOC. CODE : obstacleGateAllows RETIRÉ PROPREMENT du chemin baseline altitude (paramètre horizontalMotionRequested ; gate = condition dure du seul chemin horizontal) ; preuves refaites — FlightCommandArbiterTest 29 cas (2 preuves exhaustives de 512 : horizontal 1 cas autorisé / altitude 2 cas + indépendance du bit gate), Emission2DGuardTest 26 cas ; suite complète RE-EXÉCUTÉE : 71 classes / 696 tests / 0 échec / ≈ 15,5 s. DOSSIER : blocages ramenés à TROIS (E-03 banc, watchdog indépendant, confinement démontré) ; watchdog fusionné en 3 paragraphes (fonction/limite/exigence ouverte) ; HAZ-17 corrigé (AUCUN crédit failsafe sur perte totale d'alimentation ; résiduel NON accepté avant revue) ; FMEA watchdog SCINDÉE (retard fil actif crédité / gel total NON crédité) ; NC-T2-007 harmonisé avec §5.2 (KeyAircraftLocation3D ; champs mesurables bloquants) ; plage 15-35 m requalifiée RELATIVE AU DÉCOLLAGE (AGL par relevé terrain ; 2 variables distinctes) ; position sujet = cadrage (SANS OBJET sécurité), position pilote = VLOS (ne démontre pas le confinement) ; buffer : « pire cas / majorants / typique » supprimés, MÉTHODE PAR SCÉNARIOS de défaillance introduite (maximum crédible ; somme brute = enveloppe provisoire) ; cases JaCoCo remplies (86,0/71,6/87,0/82,9 — à régénérer sur v51) ; exigences variante RELEASE + extension couverture control ; INDEX des preuves jointes (SHA-256 réel) ; 7.5→7.4 ; réglementaire : §0.1 harmonisé (30 m, provisoire), multi-opérations dans la demande initiale, espace aérien À DÉTERMINER OFFICIELLEMENT, 922.05 selon la masse, délais 30/60 j ouvrables ; HISTORIQUE COMPLET déplacé vers le fichier séparé Historique_Versions_CineFlight.docx. BLOCAGES RESTANTS : E-03, watchdog indépendant,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53.0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REQ-WDG-001 IMPLÉMENTÉ (commit acf6312) : WatchdogIndependant — thread B STRICTEMENT indépendant du fil d'émission (battement lock-free/horloge monotone, armement=premier battement fail-closed, latch one-shot avec réarmement par décision humaine, recul d'horloge=périmé, exceptions contenues) ; au déclenchement, depuis le fil B vivant : désarmement + drapeau d'urgence + commande neutre directe + demande de sortie Virtual Stick + journal WDG_INDEP, sans passer par le fil UI. Intégration Phase3Activity : battements aux 2 points de la boucle, armement au dialog (décision humaine = reset+armer+démarrer), désarmement volontaire/arrêt d'urgence = suspension, onDestroy = arrêt. TESTS : WatchdogIndependantTest 16 cas — logique pure + threads réels (fil d'émission RÉELLEMENT gelé détecté ~timeout ; survie du fil B à une exception ; battements concurrents). Suite complète : 72 classes / 712 tests / 0 échec / ≈ 15,5 s. Dossier : blocages ramenés à DEUX (E-03 au banc — incluant la validation du watchdog sur appareil et l'effet réel de la sortie Virtual Stick ; confinement démontré) ; NC-T2-005 IMPLÉMENTÉ+TESTÉ (crédit LOGIQUE, règle S.5) ; FMEA gel total 60→30 en crédit logique ; feuille de route et REQ-WDG-001 mis à jour ; manifeste 712/72/15,2 s ; index des preuves régénéré (SHA-256 4ad24a2d…) ; commits consignés (31c7df7 + acf6312).</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54.0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SOURCE UNIQUE + COUVERTURE SÉCURITÉ (commit bc66b47) : migration SafetyLimits TERMINÉE (8 seuils — Phase3Activity + CommandeWatchdog ; plus aucun littéral local) ; garde anti-réintroduction (SafetyLimitsSourceGuardTest, 5 cas, scan du code source) ; CONFIG_ID (empreinte SHA-256 des 17 seuils) journalisé à chaque armement ; nouvelle tâche jacocoSecurityReport (soccer+control). Suite : 73 classes / 717 tests / 0 échec / ≈ 15,5 s. JaCoCo MESURÉ sur ce commit : soccer 86,7 % instructions / 72,4 % branches / 88,0 % lignes / 84,5 % méthodes ; périmètre sécurité complet 40,7 % / 36,2 % (control seul 31,3 % / 28,8 % — extension exigée avant dépôt, une partie de control étant hors chemin soccer). Corrections v53-D01→D08 : index des preuves 73=73 expliqué ; HAZ-39 aligné sur la valeur maîtresse CONF-BUFFER-001 ; résumé SafetyLimits requalifié (source unique acquise) ; A1/A2 transformées en exigences ouvertes REQ-FS-001/REQ-HF-001 ; historique du corps réduit aux étapes MAJEURES (43/49/51/53/54 — tout le reste au fichier séparé). BLOCAGES RESTANTS : E-03 au banc, confinement démontré.</w:t>
            </w:r>
          </w:p>
        </w:tc>
      </w:tr>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55.0</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2026-07-20</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color w:val="FFFFFF"/>
                <w:sz w:val="18"/>
                <w:szCs w:val="18"/>
              </w:rPr>
              <w:t xml:space="preserve">ANALYSE v54 APPLIQUÉE (7 clarifications de prévalidation) : références au commit périmé dfd8ce0 remplacées par la baseline source v54 (31c7df7+acf6312+bc66b47 ; commit RELEASE et hash APK = seule future référence opérationnelle, à produire) ; APK clarifiée (développement signée automatiquement : oui ; RELEASE opérationnelle : NON, à produire) ; Norme 922 corrigée (déclarations selon masse + distance horizontale + présence de SURVOL — le survol n'est pas déduit d'une distance &lt;5 m) ; HAZ-17 ajouté aux blocages AVANT DÉPÔT (§12.2 — revue spéciale gravité 5 + preuves maintenance, indépendant d'E-03) ; résumé précisé : les DEUX blocages concernent l'ÉMISSION RÉELLE, le dépôt ayant en outre ses blocages opérationnels/administratifs/ALARP ; volet E-03-FS créé (failsafe DJI rattaché explicitement à E-03, complément E-09 — E-03 non réussissable sur le seul watchdog) ; configuration E-03 à FIGER avant essai (modèle RC exact — RC-N2 à confirmer —, SN, firmwares, câble, port, téléphone, Android, APK, MSDK) ; annexe de preuve SafetyLimits (CONFIG_ID attendu 0ab788385686e554, à confronter au journal du premier armement) ; plan de couverture control CIBLÉ (classification des classes, branches ≥70 % pour les classes de sécurité utilisées, exclusions justifiées — pas de gonflement artificiel).</w:t>
            </w:r>
          </w:p>
        </w:tc>
      </w:tr>
    </w:tbl>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retenu PROVISOIREMENT (scénario conservateur)</w:t>
      </w:r>
      <w:r>
        <w:rPr>
          <w:rFonts w:ascii="Calibri" w:cs="Calibri" w:eastAsia="Calibri" w:hAnsi="Calibri"/>
          <w:sz w:val="21"/>
          <w:szCs w:val="21"/>
        </w:rPr>
        <w:t xml:space="preserve"> (RAC partie IX ; exigence étendue aux microdrones depuis 2025-04-01, pour un vol à MOINS DE 30 m des limites de l'événement). Le périmètre officiel de l'événement sera cartographié ; le fondement sera confirmé lorsque la distance minimale entre le volume de vol et les limites de l'événement aura été établie.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à confirmer par l'exploitant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ÉLÉMENT À FOURNIR PAR L'EXPLOITANT</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la chaîne réelle (APK, téléphone, RC, drone, MSDK) — moteurs coupés / hélices retirées : preuve = commande journalisée, PAS le mouvement physique final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instrText xml:space="preserve">TOC \h \o "1-2"</w:instrText>
            <w:fldChar w:fldCharType="separate"/>
          </w:r>
        </w:p>
        <w:p>
          <w:pPr>
            <w:tabs>
              <w:tab w:val="right" w:leader="dot" w:pos="9350"/>
            </w:tabs>
            <w:spacing w:after="40"/>
          </w:pPr>
          <w:r>
            <w:rPr>
              <w:rFonts w:ascii="Calibri" w:cs="Calibri" w:eastAsia="Calibri" w:hAnsi="Calibri"/>
              <w:b/>
              <w:bCs/>
              <w:sz w:val="19"/>
              <w:szCs w:val="19"/>
            </w:rPr>
            <w:t xml:space="preserve">0. Résumé exécutif</w:t>
          </w:r>
          <w:r>
            <w:tab/>
          </w:r>
          <w:r>
            <w:rPr>
              <w:sz w:val="19"/>
              <w:szCs w:val="19"/>
            </w:rPr>
            <w:t>11</w:t>
          </w:r>
        </w:p>
        <w:p>
          <w:pPr>
            <w:tabs>
              <w:tab w:val="right" w:leader="dot" w:pos="9350"/>
            </w:tabs>
            <w:spacing w:after="40"/>
            <w:ind w:left="240"/>
          </w:pPr>
          <w:r>
            <w:rPr>
              <w:rFonts w:ascii="Calibri" w:cs="Calibri" w:eastAsia="Calibri" w:hAnsi="Calibri"/>
              <w:sz w:val="19"/>
              <w:szCs w:val="19"/>
            </w:rPr>
            <w:t xml:space="preserve">0.1 Cadre réglementaire (synthèse) — quatre analyses distinctes</w:t>
          </w:r>
          <w:r>
            <w:tab/>
          </w:r>
          <w:r>
            <w:rPr>
              <w:sz w:val="19"/>
              <w:szCs w:val="19"/>
            </w:rPr>
            <w:t>11</w:t>
          </w:r>
        </w:p>
        <w:p>
          <w:pPr>
            <w:tabs>
              <w:tab w:val="right" w:leader="dot" w:pos="9350"/>
            </w:tabs>
            <w:spacing w:after="40"/>
            <w:ind w:left="240"/>
          </w:pPr>
          <w:r>
            <w:rPr>
              <w:rFonts w:ascii="Calibri" w:cs="Calibri" w:eastAsia="Calibri" w:hAnsi="Calibri"/>
              <w:sz w:val="19"/>
              <w:szCs w:val="19"/>
            </w:rPr>
            <w:t xml:space="preserve">0.2 État d'avancement (auto-évaluation prudente)</w:t>
          </w:r>
          <w:r>
            <w:tab/>
          </w:r>
          <w:r>
            <w:rPr>
              <w:sz w:val="19"/>
              <w:szCs w:val="19"/>
            </w:rPr>
            <w:t>12</w:t>
          </w:r>
        </w:p>
        <w:p>
          <w:pPr>
            <w:tabs>
              <w:tab w:val="right" w:leader="dot" w:pos="9350"/>
            </w:tabs>
            <w:spacing w:after="40"/>
          </w:pPr>
          <w:r>
            <w:rPr>
              <w:rFonts w:ascii="Calibri" w:cs="Calibri" w:eastAsia="Calibri" w:hAnsi="Calibri"/>
              <w:b/>
              <w:bCs/>
              <w:sz w:val="19"/>
              <w:szCs w:val="19"/>
            </w:rPr>
            <w:t xml:space="preserve">1. Argument de sécurité (Safety Argument)</w:t>
          </w:r>
          <w:r>
            <w:tab/>
          </w:r>
          <w:r>
            <w:rPr>
              <w:sz w:val="19"/>
              <w:szCs w:val="19"/>
            </w:rPr>
            <w:t>14</w:t>
          </w:r>
        </w:p>
        <w:p>
          <w:pPr>
            <w:tabs>
              <w:tab w:val="right" w:leader="dot" w:pos="9350"/>
            </w:tabs>
            <w:spacing w:after="40"/>
            <w:ind w:left="240"/>
          </w:pPr>
          <w:r>
            <w:rPr>
              <w:rFonts w:ascii="Calibri" w:cs="Calibri" w:eastAsia="Calibri" w:hAnsi="Calibri"/>
              <w:sz w:val="19"/>
              <w:szCs w:val="19"/>
            </w:rPr>
            <w:t xml:space="preserve">1.1 Objectif de sécurité principal (G0)</w:t>
          </w:r>
          <w:r>
            <w:tab/>
          </w:r>
          <w:r>
            <w:rPr>
              <w:sz w:val="19"/>
              <w:szCs w:val="19"/>
            </w:rPr>
            <w:t>14</w:t>
          </w:r>
        </w:p>
        <w:p>
          <w:pPr>
            <w:tabs>
              <w:tab w:val="right" w:leader="dot" w:pos="9350"/>
            </w:tabs>
            <w:spacing w:after="40"/>
            <w:ind w:left="240"/>
          </w:pPr>
          <w:r>
            <w:rPr>
              <w:rFonts w:ascii="Calibri" w:cs="Calibri" w:eastAsia="Calibri" w:hAnsi="Calibri"/>
              <w:sz w:val="19"/>
              <w:szCs w:val="19"/>
            </w:rPr>
            <w:t xml:space="preserve">1.2 Décomposition en stratégies, preuves et STATUT</w:t>
          </w:r>
          <w:r>
            <w:tab/>
          </w:r>
          <w:r>
            <w:rPr>
              <w:sz w:val="19"/>
              <w:szCs w:val="19"/>
            </w:rPr>
            <w:t>14</w:t>
          </w:r>
        </w:p>
        <w:p>
          <w:pPr>
            <w:tabs>
              <w:tab w:val="right" w:leader="dot" w:pos="9350"/>
            </w:tabs>
            <w:spacing w:after="40"/>
            <w:ind w:left="240"/>
          </w:pPr>
          <w:r>
            <w:rPr>
              <w:rFonts w:ascii="Calibri" w:cs="Calibri" w:eastAsia="Calibri" w:hAnsi="Calibri"/>
              <w:sz w:val="19"/>
              <w:szCs w:val="19"/>
            </w:rPr>
            <w:t xml:space="preserve">1.3 Hypothèses et limites de l'argument</w:t>
          </w:r>
          <w:r>
            <w:tab/>
          </w:r>
          <w:r>
            <w:rPr>
              <w:sz w:val="19"/>
              <w:szCs w:val="19"/>
            </w:rPr>
            <w:t>15</w:t>
          </w:r>
        </w:p>
        <w:p>
          <w:pPr>
            <w:tabs>
              <w:tab w:val="right" w:leader="dot" w:pos="9350"/>
            </w:tabs>
            <w:spacing w:after="40"/>
          </w:pPr>
          <w:r>
            <w:rPr>
              <w:rFonts w:ascii="Calibri" w:cs="Calibri" w:eastAsia="Calibri" w:hAnsi="Calibri"/>
              <w:b/>
              <w:bCs/>
              <w:sz w:val="19"/>
              <w:szCs w:val="19"/>
            </w:rPr>
            <w:t xml:space="preserve">2. Architecture du système</w:t>
          </w:r>
          <w:r>
            <w:tab/>
          </w:r>
          <w:r>
            <w:rPr>
              <w:sz w:val="19"/>
              <w:szCs w:val="19"/>
            </w:rPr>
            <w:t>16</w:t>
          </w:r>
        </w:p>
        <w:p>
          <w:pPr>
            <w:tabs>
              <w:tab w:val="right" w:leader="dot" w:pos="9350"/>
            </w:tabs>
            <w:spacing w:after="40"/>
            <w:ind w:left="240"/>
          </w:pPr>
          <w:r>
            <w:rPr>
              <w:rFonts w:ascii="Calibri" w:cs="Calibri" w:eastAsia="Calibri" w:hAnsi="Calibri"/>
              <w:sz w:val="19"/>
              <w:szCs w:val="19"/>
            </w:rPr>
            <w:t xml:space="preserve">2.0 Qu'est-ce que YOLO ? (pour lecteurs non spécialistes)</w:t>
          </w:r>
          <w:r>
            <w:tab/>
          </w:r>
          <w:r>
            <w:rPr>
              <w:sz w:val="19"/>
              <w:szCs w:val="19"/>
            </w:rPr>
            <w:t>16</w:t>
          </w:r>
        </w:p>
        <w:p>
          <w:pPr>
            <w:tabs>
              <w:tab w:val="right" w:leader="dot" w:pos="9350"/>
            </w:tabs>
            <w:spacing w:after="40"/>
            <w:ind w:left="240"/>
          </w:pPr>
          <w:r>
            <w:rPr>
              <w:rFonts w:ascii="Calibri" w:cs="Calibri" w:eastAsia="Calibri" w:hAnsi="Calibri"/>
              <w:sz w:val="19"/>
              <w:szCs w:val="19"/>
            </w:rPr>
            <w:t xml:space="preserve">2.1 Chaîne de commande</w:t>
          </w:r>
          <w:r>
            <w:tab/>
          </w:r>
          <w:r>
            <w:rPr>
              <w:sz w:val="19"/>
              <w:szCs w:val="19"/>
            </w:rPr>
            <w:t>16</w:t>
          </w:r>
        </w:p>
        <w:p>
          <w:pPr>
            <w:tabs>
              <w:tab w:val="right" w:leader="dot" w:pos="9350"/>
            </w:tabs>
            <w:spacing w:after="40"/>
            <w:ind w:left="240"/>
          </w:pPr>
          <w:r>
            <w:rPr>
              <w:rFonts w:ascii="Calibri" w:cs="Calibri" w:eastAsia="Calibri" w:hAnsi="Calibri"/>
              <w:sz w:val="19"/>
              <w:szCs w:val="19"/>
            </w:rPr>
            <w:t xml:space="preserve">2.2 Logique de décision de l'arbitre (fail-closed)</w:t>
          </w:r>
          <w:r>
            <w:tab/>
          </w:r>
          <w:r>
            <w:rPr>
              <w:sz w:val="19"/>
              <w:szCs w:val="19"/>
            </w:rPr>
            <w:t>17</w:t>
          </w:r>
        </w:p>
        <w:p>
          <w:pPr>
            <w:tabs>
              <w:tab w:val="right" w:leader="dot" w:pos="9350"/>
            </w:tabs>
            <w:spacing w:after="40"/>
            <w:ind w:left="240"/>
          </w:pPr>
          <w:r>
            <w:rPr>
              <w:rFonts w:ascii="Calibri" w:cs="Calibri" w:eastAsia="Calibri" w:hAnsi="Calibri"/>
              <w:sz w:val="19"/>
              <w:szCs w:val="19"/>
            </w:rPr>
            <w:t xml:space="preserve">2.3 Architecture d'exécution (fils / threads)</w:t>
          </w:r>
          <w:r>
            <w:tab/>
          </w:r>
          <w:r>
            <w:rPr>
              <w:sz w:val="19"/>
              <w:szCs w:val="19"/>
            </w:rPr>
            <w:t>19</w:t>
          </w:r>
        </w:p>
        <w:p>
          <w:pPr>
            <w:tabs>
              <w:tab w:val="right" w:leader="dot" w:pos="9350"/>
            </w:tabs>
            <w:spacing w:after="40"/>
            <w:ind w:left="240"/>
          </w:pPr>
          <w:r>
            <w:rPr>
              <w:rFonts w:ascii="Calibri" w:cs="Calibri" w:eastAsia="Calibri" w:hAnsi="Calibri"/>
              <w:sz w:val="19"/>
              <w:szCs w:val="19"/>
            </w:rPr>
            <w:t xml:space="preserve">2.4 Chronologie d'une image (latence)</w:t>
          </w:r>
          <w:r>
            <w:tab/>
          </w:r>
          <w:r>
            <w:rPr>
              <w:sz w:val="19"/>
              <w:szCs w:val="19"/>
            </w:rPr>
            <w:t>19</w:t>
          </w:r>
        </w:p>
        <w:p>
          <w:pPr>
            <w:tabs>
              <w:tab w:val="right" w:leader="dot" w:pos="9350"/>
            </w:tabs>
            <w:spacing w:after="40"/>
            <w:ind w:left="240"/>
          </w:pPr>
          <w:r>
            <w:rPr>
              <w:rFonts w:ascii="Calibri" w:cs="Calibri" w:eastAsia="Calibri" w:hAnsi="Calibri"/>
              <w:sz w:val="19"/>
              <w:szCs w:val="19"/>
            </w:rPr>
            <w:t xml:space="preserve">2.5 Moniteur de sécurité (Safety Monitor)</w:t>
          </w:r>
          <w:r>
            <w:tab/>
          </w:r>
          <w:r>
            <w:rPr>
              <w:sz w:val="19"/>
              <w:szCs w:val="19"/>
            </w:rPr>
            <w:t>20</w:t>
          </w:r>
        </w:p>
        <w:p>
          <w:pPr>
            <w:tabs>
              <w:tab w:val="right" w:leader="dot" w:pos="9350"/>
            </w:tabs>
            <w:spacing w:after="40"/>
            <w:ind w:left="240"/>
          </w:pPr>
          <w:r>
            <w:rPr>
              <w:rFonts w:ascii="Calibri" w:cs="Calibri" w:eastAsia="Calibri" w:hAnsi="Calibri"/>
              <w:sz w:val="19"/>
              <w:szCs w:val="19"/>
            </w:rPr>
            <w:t xml:space="preserve">2.6 Cybersécurité et sécurité de l'information</w:t>
          </w:r>
          <w:r>
            <w:tab/>
          </w:r>
          <w:r>
            <w:rPr>
              <w:sz w:val="19"/>
              <w:szCs w:val="19"/>
            </w:rPr>
            <w:t>21</w:t>
          </w:r>
        </w:p>
        <w:p>
          <w:pPr>
            <w:tabs>
              <w:tab w:val="right" w:leader="dot" w:pos="9350"/>
            </w:tabs>
            <w:spacing w:after="40"/>
          </w:pPr>
          <w:r>
            <w:rPr>
              <w:rFonts w:ascii="Calibri" w:cs="Calibri" w:eastAsia="Calibri" w:hAnsi="Calibri"/>
              <w:b/>
              <w:bCs/>
              <w:sz w:val="19"/>
              <w:szCs w:val="19"/>
            </w:rPr>
            <w:t xml:space="preserve">3. Analyse fonctionnelle des modules</w:t>
          </w:r>
          <w:r>
            <w:tab/>
          </w:r>
          <w:r>
            <w:rPr>
              <w:sz w:val="19"/>
              <w:szCs w:val="19"/>
            </w:rPr>
            <w:t>22</w:t>
          </w:r>
        </w:p>
        <w:p>
          <w:pPr>
            <w:tabs>
              <w:tab w:val="right" w:leader="dot" w:pos="9350"/>
            </w:tabs>
            <w:spacing w:after="40"/>
            <w:ind w:left="240"/>
          </w:pPr>
          <w:r>
            <w:rPr>
              <w:rFonts w:ascii="Calibri" w:cs="Calibri" w:eastAsia="Calibri" w:hAnsi="Calibri"/>
              <w:sz w:val="19"/>
              <w:szCs w:val="19"/>
            </w:rPr>
            <w:t xml:space="preserve">3.1 SafetySnapshot : 11 champs, 9 conditions décisionnelles</w:t>
          </w:r>
          <w:r>
            <w:tab/>
          </w:r>
          <w:r>
            <w:rPr>
              <w:sz w:val="19"/>
              <w:szCs w:val="19"/>
            </w:rPr>
            <w:t>23</w:t>
          </w:r>
        </w:p>
        <w:p>
          <w:pPr>
            <w:tabs>
              <w:tab w:val="right" w:leader="dot" w:pos="9350"/>
            </w:tabs>
            <w:spacing w:after="40"/>
            <w:ind w:left="240"/>
          </w:pPr>
          <w:r>
            <w:rPr>
              <w:rFonts w:ascii="Calibri" w:cs="Calibri" w:eastAsia="Calibri" w:hAnsi="Calibri"/>
              <w:sz w:val="19"/>
              <w:szCs w:val="19"/>
            </w:rPr>
            <w:t xml:space="preserve">3.2 Cohérence des données inter-fils (snapshot atomique) — IMPLÉMENTÉ (v16)</w:t>
          </w:r>
          <w:r>
            <w:tab/>
          </w:r>
          <w:r>
            <w:rPr>
              <w:sz w:val="19"/>
              <w:szCs w:val="19"/>
            </w:rPr>
            <w:t>24</w:t>
          </w:r>
        </w:p>
        <w:p>
          <w:pPr>
            <w:tabs>
              <w:tab w:val="right" w:leader="dot" w:pos="9350"/>
            </w:tabs>
            <w:spacing w:after="40"/>
            <w:ind w:left="240"/>
          </w:pPr>
          <w:r>
            <w:rPr>
              <w:rFonts w:ascii="Calibri" w:cs="Calibri" w:eastAsia="Calibri" w:hAnsi="Calibri"/>
              <w:sz w:val="19"/>
              <w:szCs w:val="19"/>
            </w:rPr>
            <w:t xml:space="preserve">3.3 Priorité pilote et comportement après cessation des commandes (à démontrer)</w:t>
          </w:r>
          <w:r>
            <w:tab/>
          </w:r>
          <w:r>
            <w:rPr>
              <w:sz w:val="19"/>
              <w:szCs w:val="19"/>
            </w:rPr>
            <w:t>24</w:t>
          </w:r>
        </w:p>
        <w:p>
          <w:pPr>
            <w:tabs>
              <w:tab w:val="right" w:leader="dot" w:pos="9350"/>
            </w:tabs>
            <w:spacing w:after="40"/>
          </w:pPr>
          <w:r>
            <w:rPr>
              <w:rFonts w:ascii="Calibri" w:cs="Calibri" w:eastAsia="Calibri" w:hAnsi="Calibri"/>
              <w:b/>
              <w:bCs/>
              <w:sz w:val="19"/>
              <w:szCs w:val="19"/>
            </w:rPr>
            <w:t xml:space="preserve">4. Concept d'opérations (CONOPS)</w:t>
          </w:r>
          <w:r>
            <w:tab/>
          </w:r>
          <w:r>
            <w:rPr>
              <w:sz w:val="19"/>
              <w:szCs w:val="19"/>
            </w:rPr>
            <w:t>25</w:t>
          </w:r>
        </w:p>
        <w:p>
          <w:pPr>
            <w:tabs>
              <w:tab w:val="right" w:leader="dot" w:pos="9350"/>
            </w:tabs>
            <w:spacing w:after="40"/>
            <w:ind w:left="240"/>
          </w:pPr>
          <w:r>
            <w:rPr>
              <w:rFonts w:ascii="Calibri" w:cs="Calibri" w:eastAsia="Calibri" w:hAnsi="Calibri"/>
              <w:sz w:val="19"/>
              <w:szCs w:val="19"/>
            </w:rPr>
            <w:t xml:space="preserve">4.0 Fiche opérationnelle (résumé de la demande) — NC-001</w:t>
          </w:r>
          <w:r>
            <w:tab/>
          </w:r>
          <w:r>
            <w:rPr>
              <w:sz w:val="19"/>
              <w:szCs w:val="19"/>
            </w:rPr>
            <w:t>25</w:t>
          </w:r>
        </w:p>
        <w:p>
          <w:pPr>
            <w:tabs>
              <w:tab w:val="right" w:leader="dot" w:pos="9350"/>
            </w:tabs>
            <w:spacing w:after="40"/>
            <w:ind w:left="240"/>
          </w:pPr>
          <w:r>
            <w:rPr>
              <w:rFonts w:ascii="Calibri" w:cs="Calibri" w:eastAsia="Calibri" w:hAnsi="Calibri"/>
              <w:sz w:val="19"/>
              <w:szCs w:val="19"/>
            </w:rPr>
            <w:t xml:space="preserve">4.0.2 Paramètres détaillés de l'opération</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4.0.3 Site réel de l'opération (renseigné 2026-07-20)</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4.0.4 Espace aérien — à confirmer par NAV Drone (POINT CRITIQUE)</w:t>
          </w:r>
          <w:r>
            <w:tab/>
          </w:r>
          <w:r>
            <w:rPr>
              <w:sz w:val="19"/>
              <w:szCs w:val="19"/>
            </w:rPr>
            <w:t>26</w:t>
          </w:r>
        </w:p>
        <w:p>
          <w:pPr>
            <w:tabs>
              <w:tab w:val="right" w:leader="dot" w:pos="9350"/>
            </w:tabs>
            <w:spacing w:after="40"/>
            <w:ind w:left="240"/>
          </w:pPr>
          <w:r>
            <w:rPr>
              <w:rFonts w:ascii="Calibri" w:cs="Calibri" w:eastAsia="Calibri" w:hAnsi="Calibri"/>
              <w:sz w:val="19"/>
              <w:szCs w:val="19"/>
            </w:rPr>
            <w:t xml:space="preserve">4.1 Délimitation du terrain par l'application Web (géorepérage)</w:t>
          </w:r>
          <w:r>
            <w:tab/>
          </w:r>
          <w:r>
            <w:rPr>
              <w:sz w:val="19"/>
              <w:szCs w:val="19"/>
            </w:rPr>
            <w:t>28</w:t>
          </w:r>
        </w:p>
        <w:p>
          <w:pPr>
            <w:tabs>
              <w:tab w:val="right" w:leader="dot" w:pos="9350"/>
            </w:tabs>
            <w:spacing w:after="40"/>
            <w:ind w:left="240"/>
          </w:pPr>
          <w:r>
            <w:rPr>
              <w:rFonts w:ascii="Calibri" w:cs="Calibri" w:eastAsia="Calibri" w:hAnsi="Calibri"/>
              <w:sz w:val="19"/>
              <w:szCs w:val="19"/>
            </w:rPr>
            <w:t xml:space="preserve">4.2 Confinement physique quantifié (buffer de contingence)</w:t>
          </w:r>
          <w:r>
            <w:tab/>
          </w:r>
          <w:r>
            <w:rPr>
              <w:sz w:val="19"/>
              <w:szCs w:val="19"/>
            </w:rPr>
            <w:t>29</w:t>
          </w:r>
        </w:p>
        <w:p>
          <w:pPr>
            <w:tabs>
              <w:tab w:val="right" w:leader="dot" w:pos="9350"/>
            </w:tabs>
            <w:spacing w:after="40"/>
            <w:ind w:left="240"/>
          </w:pPr>
          <w:r>
            <w:rPr>
              <w:rFonts w:ascii="Calibri" w:cs="Calibri" w:eastAsia="Calibri" w:hAnsi="Calibri"/>
              <w:sz w:val="19"/>
              <w:szCs w:val="19"/>
            </w:rPr>
            <w:t xml:space="preserve">4.2.1 Calcul chiffré du buffer de contingence (2026-07-20)</w:t>
          </w:r>
          <w:r>
            <w:tab/>
          </w:r>
          <w:r>
            <w:rPr>
              <w:sz w:val="19"/>
              <w:szCs w:val="19"/>
            </w:rPr>
            <w:t>29</w:t>
          </w:r>
        </w:p>
        <w:p>
          <w:pPr>
            <w:tabs>
              <w:tab w:val="right" w:leader="dot" w:pos="9350"/>
            </w:tabs>
            <w:spacing w:after="40"/>
            <w:ind w:left="240"/>
          </w:pPr>
          <w:r>
            <w:rPr>
              <w:rFonts w:ascii="Calibri" w:cs="Calibri" w:eastAsia="Calibri" w:hAnsi="Calibri"/>
              <w:sz w:val="19"/>
              <w:szCs w:val="19"/>
            </w:rPr>
            <w:t xml:space="preserve">4.2.2 Buffer à vMax verrouillé 2 m/s (renforcement 2026-07-20)</w:t>
          </w:r>
          <w:r>
            <w:tab/>
          </w:r>
          <w:r>
            <w:rPr>
              <w:sz w:val="19"/>
              <w:szCs w:val="19"/>
            </w:rPr>
            <w:t>31</w:t>
          </w:r>
        </w:p>
        <w:p>
          <w:pPr>
            <w:tabs>
              <w:tab w:val="right" w:leader="dot" w:pos="9350"/>
            </w:tabs>
            <w:spacing w:after="40"/>
            <w:ind w:left="240"/>
          </w:pPr>
          <w:r>
            <w:rPr>
              <w:rFonts w:ascii="Calibri" w:cs="Calibri" w:eastAsia="Calibri" w:hAnsi="Calibri"/>
              <w:sz w:val="19"/>
              <w:szCs w:val="19"/>
            </w:rPr>
            <w:t xml:space="preserve">4.2.3 Plan à l'échelle du confinement (schéma 2026-07-20)</w:t>
          </w:r>
          <w:r>
            <w:tab/>
          </w:r>
          <w:r>
            <w:rPr>
              <w:sz w:val="19"/>
              <w:szCs w:val="19"/>
            </w:rPr>
            <w:t>31</w:t>
          </w:r>
        </w:p>
        <w:p>
          <w:pPr>
            <w:tabs>
              <w:tab w:val="right" w:leader="dot" w:pos="9350"/>
            </w:tabs>
            <w:spacing w:after="40"/>
            <w:ind w:left="240"/>
          </w:pPr>
          <w:r>
            <w:rPr>
              <w:rFonts w:ascii="Calibri" w:cs="Calibri" w:eastAsia="Calibri" w:hAnsi="Calibri"/>
              <w:sz w:val="19"/>
              <w:szCs w:val="19"/>
            </w:rPr>
            <w:t xml:space="preserve">4.2.4 Analyse géométrique du site vs buffer (2026-07-20)</w:t>
          </w:r>
          <w:r>
            <w:tab/>
          </w:r>
          <w:r>
            <w:rPr>
              <w:sz w:val="19"/>
              <w:szCs w:val="19"/>
            </w:rPr>
            <w:t>32</w:t>
          </w:r>
        </w:p>
        <w:p>
          <w:pPr>
            <w:tabs>
              <w:tab w:val="right" w:leader="dot" w:pos="9350"/>
            </w:tabs>
            <w:spacing w:after="40"/>
            <w:ind w:left="240"/>
          </w:pPr>
          <w:r>
            <w:rPr>
              <w:rFonts w:ascii="Calibri" w:cs="Calibri" w:eastAsia="Calibri" w:hAnsi="Calibri"/>
              <w:sz w:val="19"/>
              <w:szCs w:val="19"/>
            </w:rPr>
            <w:t xml:space="preserve">4.3 Espace aérien et site</w:t>
          </w:r>
          <w:r>
            <w:tab/>
          </w:r>
          <w:r>
            <w:rPr>
              <w:sz w:val="19"/>
              <w:szCs w:val="19"/>
            </w:rPr>
            <w:t>33</w:t>
          </w:r>
        </w:p>
        <w:p>
          <w:pPr>
            <w:tabs>
              <w:tab w:val="right" w:leader="dot" w:pos="9350"/>
            </w:tabs>
            <w:spacing w:after="40"/>
            <w:ind w:left="240"/>
          </w:pPr>
          <w:r>
            <w:rPr>
              <w:rFonts w:ascii="Calibri" w:cs="Calibri" w:eastAsia="Calibri" w:hAnsi="Calibri"/>
              <w:sz w:val="19"/>
              <w:szCs w:val="19"/>
            </w:rPr>
            <w:t xml:space="preserve">4.4 Spécification de la porte de validation pré-vol (go/no-go)</w:t>
          </w:r>
          <w:r>
            <w:tab/>
          </w:r>
          <w:r>
            <w:rPr>
              <w:sz w:val="19"/>
              <w:szCs w:val="19"/>
            </w:rPr>
            <w:t>34</w:t>
          </w:r>
        </w:p>
        <w:p>
          <w:pPr>
            <w:tabs>
              <w:tab w:val="right" w:leader="dot" w:pos="9350"/>
            </w:tabs>
            <w:spacing w:after="40"/>
          </w:pPr>
          <w:r>
            <w:rPr>
              <w:rFonts w:ascii="Calibri" w:cs="Calibri" w:eastAsia="Calibri" w:hAnsi="Calibri"/>
              <w:b/>
              <w:bCs/>
              <w:sz w:val="19"/>
              <w:szCs w:val="19"/>
            </w:rPr>
            <w:t xml:space="preserve">5. Personnes et admissibilité du RPAS</w:t>
          </w:r>
          <w:r>
            <w:tab/>
          </w:r>
          <w:r>
            <w:rPr>
              <w:sz w:val="19"/>
              <w:szCs w:val="19"/>
            </w:rPr>
            <w:t>36</w:t>
          </w:r>
        </w:p>
        <w:p>
          <w:pPr>
            <w:tabs>
              <w:tab w:val="right" w:leader="dot" w:pos="9350"/>
            </w:tabs>
            <w:spacing w:after="40"/>
            <w:ind w:left="240"/>
          </w:pPr>
          <w:r>
            <w:rPr>
              <w:rFonts w:ascii="Calibri" w:cs="Calibri" w:eastAsia="Calibri" w:hAnsi="Calibri"/>
              <w:sz w:val="19"/>
              <w:szCs w:val="19"/>
            </w:rPr>
            <w:t xml:space="preserve">5.1 Classification des personnes (hypothèse conservatrice)</w:t>
          </w:r>
          <w:r>
            <w:tab/>
          </w:r>
          <w:r>
            <w:rPr>
              <w:sz w:val="19"/>
              <w:szCs w:val="19"/>
            </w:rPr>
            <w:t>36</w:t>
          </w:r>
        </w:p>
        <w:p>
          <w:pPr>
            <w:tabs>
              <w:tab w:val="right" w:leader="dot" w:pos="9350"/>
            </w:tabs>
            <w:spacing w:after="40"/>
            <w:ind w:left="240"/>
          </w:pPr>
          <w:r>
            <w:rPr>
              <w:rFonts w:ascii="Calibri" w:cs="Calibri" w:eastAsia="Calibri" w:hAnsi="Calibri"/>
              <w:sz w:val="19"/>
              <w:szCs w:val="19"/>
            </w:rPr>
            <w:t xml:space="preserve">5.2 Sources de position et critères RTK (par donnée)</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5.3 Admissibilité du drone</w:t>
          </w:r>
          <w:r>
            <w:tab/>
          </w:r>
          <w:r>
            <w:rPr>
              <w:sz w:val="19"/>
              <w:szCs w:val="19"/>
            </w:rPr>
            <w:t>37</w:t>
          </w:r>
        </w:p>
        <w:p>
          <w:pPr>
            <w:tabs>
              <w:tab w:val="right" w:leader="dot" w:pos="9350"/>
            </w:tabs>
            <w:spacing w:after="40"/>
            <w:ind w:left="240"/>
          </w:pPr>
          <w:r>
            <w:rPr>
              <w:rFonts w:ascii="Calibri" w:cs="Calibri" w:eastAsia="Calibri" w:hAnsi="Calibri"/>
              <w:sz w:val="19"/>
              <w:szCs w:val="19"/>
            </w:rPr>
            <w:t xml:space="preserve">5.4 Rôles, responsabilités et autorités (NC-004)</w:t>
          </w:r>
          <w:r>
            <w:tab/>
          </w:r>
          <w:r>
            <w:rPr>
              <w:sz w:val="19"/>
              <w:szCs w:val="19"/>
            </w:rPr>
            <w:t>39</w:t>
          </w:r>
        </w:p>
        <w:p>
          <w:pPr>
            <w:tabs>
              <w:tab w:val="right" w:leader="dot" w:pos="9350"/>
            </w:tabs>
            <w:spacing w:after="40"/>
            <w:ind w:left="240"/>
          </w:pPr>
          <w:r>
            <w:rPr>
              <w:rFonts w:ascii="Calibri" w:cs="Calibri" w:eastAsia="Calibri" w:hAnsi="Calibri"/>
              <w:sz w:val="19"/>
              <w:szCs w:val="19"/>
            </w:rPr>
            <w:t xml:space="preserve">5.5 Suivi des autorisations (NC-006)</w:t>
          </w:r>
          <w:r>
            <w:tab/>
          </w:r>
          <w:r>
            <w:rPr>
              <w:sz w:val="19"/>
              <w:szCs w:val="19"/>
            </w:rPr>
            <w:t>39</w:t>
          </w:r>
        </w:p>
        <w:p>
          <w:pPr>
            <w:tabs>
              <w:tab w:val="right" w:leader="dot" w:pos="9350"/>
            </w:tabs>
            <w:spacing w:after="40"/>
            <w:ind w:left="240"/>
          </w:pPr>
          <w:r>
            <w:rPr>
              <w:rFonts w:ascii="Calibri" w:cs="Calibri" w:eastAsia="Calibri" w:hAnsi="Calibri"/>
              <w:sz w:val="19"/>
              <w:szCs w:val="19"/>
            </w:rPr>
            <w:t xml:space="preserve">5.6 Assurance (NC-007)</w:t>
          </w:r>
          <w:r>
            <w:tab/>
          </w:r>
          <w:r>
            <w:rPr>
              <w:sz w:val="19"/>
              <w:szCs w:val="19"/>
            </w:rPr>
            <w:t>39</w:t>
          </w:r>
        </w:p>
        <w:p>
          <w:pPr>
            <w:tabs>
              <w:tab w:val="right" w:leader="dot" w:pos="9350"/>
            </w:tabs>
            <w:spacing w:after="40"/>
          </w:pPr>
          <w:r>
            <w:rPr>
              <w:rFonts w:ascii="Calibri" w:cs="Calibri" w:eastAsia="Calibri" w:hAnsi="Calibri"/>
              <w:b/>
              <w:bCs/>
              <w:sz w:val="19"/>
              <w:szCs w:val="19"/>
            </w:rPr>
            <w:t xml:space="preserve">6. Registre des risques étendu</w:t>
          </w:r>
          <w:r>
            <w:tab/>
          </w:r>
          <w:r>
            <w:rPr>
              <w:sz w:val="19"/>
              <w:szCs w:val="19"/>
            </w:rPr>
            <w:t>41</w:t>
          </w:r>
        </w:p>
        <w:p>
          <w:pPr>
            <w:tabs>
              <w:tab w:val="right" w:leader="dot" w:pos="9350"/>
            </w:tabs>
            <w:spacing w:after="40"/>
            <w:ind w:left="240"/>
          </w:pPr>
          <w:r>
            <w:rPr>
              <w:rFonts w:ascii="Calibri" w:cs="Calibri" w:eastAsia="Calibri" w:hAnsi="Calibri"/>
              <w:sz w:val="19"/>
              <w:szCs w:val="19"/>
            </w:rPr>
            <w:t xml:space="preserve">6.0 Matrice d'acceptation et démarche ALARP</w:t>
          </w:r>
          <w:r>
            <w:tab/>
          </w:r>
          <w:r>
            <w:rPr>
              <w:sz w:val="19"/>
              <w:szCs w:val="19"/>
            </w:rPr>
            <w:t>41</w:t>
          </w:r>
        </w:p>
        <w:p>
          <w:pPr>
            <w:tabs>
              <w:tab w:val="right" w:leader="dot" w:pos="9350"/>
            </w:tabs>
            <w:spacing w:after="40"/>
            <w:ind w:left="240"/>
          </w:pPr>
          <w:r>
            <w:rPr>
              <w:rFonts w:ascii="Calibri" w:cs="Calibri" w:eastAsia="Calibri" w:hAnsi="Calibri"/>
              <w:sz w:val="19"/>
              <w:szCs w:val="19"/>
            </w:rPr>
            <w:t xml:space="preserve">6.4 Fiches ALARP des dangers ÉLEVÉS (finalisation 2026-07-20)</w:t>
          </w:r>
          <w:r>
            <w:tab/>
          </w:r>
          <w:r>
            <w:rPr>
              <w:sz w:val="19"/>
              <w:szCs w:val="19"/>
            </w:rPr>
            <w:t>45</w:t>
          </w:r>
        </w:p>
        <w:p>
          <w:pPr>
            <w:tabs>
              <w:tab w:val="right" w:leader="dot" w:pos="9350"/>
            </w:tabs>
            <w:spacing w:after="40"/>
            <w:ind w:left="240"/>
          </w:pPr>
          <w:r>
            <w:rPr>
              <w:rFonts w:ascii="Calibri" w:cs="Calibri" w:eastAsia="Calibri" w:hAnsi="Calibri"/>
              <w:sz w:val="19"/>
              <w:szCs w:val="19"/>
            </w:rPr>
            <w:t xml:space="preserve">6.5 Mini-fiches ALARP des dangers MOYENS (5-9)</w:t>
          </w:r>
          <w:r>
            <w:tab/>
          </w:r>
          <w:r>
            <w:rPr>
              <w:sz w:val="19"/>
              <w:szCs w:val="19"/>
            </w:rPr>
            <w:t>46</w:t>
          </w:r>
        </w:p>
        <w:p>
          <w:pPr>
            <w:tabs>
              <w:tab w:val="right" w:leader="dot" w:pos="9350"/>
            </w:tabs>
            <w:spacing w:after="40"/>
          </w:pPr>
          <w:r>
            <w:rPr>
              <w:rFonts w:ascii="Calibri" w:cs="Calibri" w:eastAsia="Calibri" w:hAnsi="Calibri"/>
              <w:b/>
              <w:bCs/>
              <w:sz w:val="19"/>
              <w:szCs w:val="19"/>
            </w:rPr>
            <w:t xml:space="preserve">6bis. Analyse des modes de défaillance (FMEA) étendue</w:t>
          </w:r>
          <w:r>
            <w:tab/>
          </w:r>
          <w:r>
            <w:rPr>
              <w:sz w:val="19"/>
              <w:szCs w:val="19"/>
            </w:rPr>
            <w:t>47</w:t>
          </w:r>
        </w:p>
        <w:p>
          <w:pPr>
            <w:tabs>
              <w:tab w:val="right" w:leader="dot" w:pos="9350"/>
            </w:tabs>
            <w:spacing w:after="40"/>
          </w:pPr>
          <w:r>
            <w:rPr>
              <w:rFonts w:ascii="Calibri" w:cs="Calibri" w:eastAsia="Calibri" w:hAnsi="Calibri"/>
              <w:b/>
              <w:bCs/>
              <w:sz w:val="19"/>
              <w:szCs w:val="19"/>
            </w:rPr>
            <w:t xml:space="preserve">6ter. Matrice de traçabilité</w:t>
          </w:r>
          <w:r>
            <w:tab/>
          </w:r>
          <w:r>
            <w:rPr>
              <w:sz w:val="19"/>
              <w:szCs w:val="19"/>
            </w:rPr>
            <w:t>49</w:t>
          </w:r>
        </w:p>
        <w:p>
          <w:pPr>
            <w:tabs>
              <w:tab w:val="right" w:leader="dot" w:pos="9350"/>
            </w:tabs>
            <w:spacing w:after="40"/>
          </w:pPr>
          <w:r>
            <w:rPr>
              <w:rFonts w:ascii="Calibri" w:cs="Calibri" w:eastAsia="Calibri" w:hAnsi="Calibri"/>
              <w:b/>
              <w:bCs/>
              <w:sz w:val="19"/>
              <w:szCs w:val="19"/>
            </w:rPr>
            <w:t xml:space="preserve">7. Preuves logicielles (résultats réels)</w:t>
          </w:r>
          <w:r>
            <w:tab/>
          </w:r>
          <w:r>
            <w:rPr>
              <w:sz w:val="19"/>
              <w:szCs w:val="19"/>
            </w:rPr>
            <w:t>51</w:t>
          </w:r>
        </w:p>
        <w:p>
          <w:pPr>
            <w:tabs>
              <w:tab w:val="right" w:leader="dot" w:pos="9350"/>
            </w:tabs>
            <w:spacing w:after="40"/>
            <w:ind w:left="240"/>
          </w:pPr>
          <w:r>
            <w:rPr>
              <w:rFonts w:ascii="Calibri" w:cs="Calibri" w:eastAsia="Calibri" w:hAnsi="Calibri"/>
              <w:sz w:val="19"/>
              <w:szCs w:val="19"/>
            </w:rPr>
            <w:t xml:space="preserve">7.1 Manifeste des preuves logicielles (exécution réelle)</w:t>
          </w:r>
          <w:r>
            <w:tab/>
          </w:r>
          <w:r>
            <w:rPr>
              <w:sz w:val="19"/>
              <w:szCs w:val="19"/>
            </w:rPr>
            <w:t>51</w:t>
          </w:r>
        </w:p>
        <w:p>
          <w:pPr>
            <w:tabs>
              <w:tab w:val="right" w:leader="dot" w:pos="9350"/>
            </w:tabs>
            <w:spacing w:after="40"/>
            <w:ind w:left="240"/>
          </w:pPr>
          <w:r>
            <w:rPr>
              <w:rFonts w:ascii="Calibri" w:cs="Calibri" w:eastAsia="Calibri" w:hAnsi="Calibri"/>
              <w:sz w:val="19"/>
              <w:szCs w:val="19"/>
            </w:rPr>
            <w:t xml:space="preserve">7.2 Preuves de sécurité clés</w:t>
          </w:r>
          <w:r>
            <w:tab/>
          </w:r>
          <w:r>
            <w:rPr>
              <w:sz w:val="19"/>
              <w:szCs w:val="19"/>
            </w:rPr>
            <w:t>52</w:t>
          </w:r>
        </w:p>
        <w:p>
          <w:pPr>
            <w:tabs>
              <w:tab w:val="right" w:leader="dot" w:pos="9350"/>
            </w:tabs>
            <w:spacing w:after="40"/>
            <w:ind w:left="240"/>
          </w:pPr>
          <w:r>
            <w:rPr>
              <w:rFonts w:ascii="Calibri" w:cs="Calibri" w:eastAsia="Calibri" w:hAnsi="Calibri"/>
              <w:sz w:val="19"/>
              <w:szCs w:val="19"/>
            </w:rPr>
            <w:t xml:space="preserve">7.3 Couverture de code (JaCoCo)</w:t>
          </w:r>
          <w:r>
            <w:tab/>
          </w:r>
          <w:r>
            <w:rPr>
              <w:sz w:val="19"/>
              <w:szCs w:val="19"/>
            </w:rPr>
            <w:t>52</w:t>
          </w:r>
        </w:p>
        <w:p>
          <w:pPr>
            <w:tabs>
              <w:tab w:val="right" w:leader="dot" w:pos="9350"/>
            </w:tabs>
            <w:spacing w:after="40"/>
            <w:ind w:left="240"/>
          </w:pPr>
          <w:r>
            <w:rPr>
              <w:rFonts w:ascii="Calibri" w:cs="Calibri" w:eastAsia="Calibri" w:hAnsi="Calibri"/>
              <w:sz w:val="19"/>
              <w:szCs w:val="19"/>
            </w:rPr>
            <w:t xml:space="preserve">7.4 Sécurité de l'information (état actuel)</w:t>
          </w:r>
          <w:r>
            <w:tab/>
          </w:r>
          <w:r>
            <w:rPr>
              <w:sz w:val="19"/>
              <w:szCs w:val="19"/>
            </w:rPr>
            <w:t>53</w:t>
          </w:r>
        </w:p>
        <w:p>
          <w:pPr>
            <w:tabs>
              <w:tab w:val="right" w:leader="dot" w:pos="9350"/>
            </w:tabs>
            <w:spacing w:after="40"/>
          </w:pPr>
          <w:r>
            <w:rPr>
              <w:rFonts w:ascii="Calibri" w:cs="Calibri" w:eastAsia="Calibri" w:hAnsi="Calibri"/>
              <w:b/>
              <w:bCs/>
              <w:sz w:val="19"/>
              <w:szCs w:val="19"/>
            </w:rPr>
            <w:t xml:space="preserve">8. Plan d'essais terrain et mesures quantitatives</w:t>
          </w:r>
          <w:r>
            <w:tab/>
          </w:r>
          <w:r>
            <w:rPr>
              <w:sz w:val="19"/>
              <w:szCs w:val="19"/>
            </w:rPr>
            <w:t>54</w:t>
          </w:r>
        </w:p>
        <w:p>
          <w:pPr>
            <w:tabs>
              <w:tab w:val="right" w:leader="dot" w:pos="9350"/>
            </w:tabs>
            <w:spacing w:after="40"/>
            <w:ind w:left="240"/>
          </w:pPr>
          <w:r>
            <w:rPr>
              <w:rFonts w:ascii="Calibri" w:cs="Calibri" w:eastAsia="Calibri" w:hAnsi="Calibri"/>
              <w:sz w:val="19"/>
              <w:szCs w:val="19"/>
            </w:rPr>
            <w:t xml:space="preserve">8.1 Essais matériels et terrain (critères réussite/échec)</w:t>
          </w:r>
          <w:r>
            <w:tab/>
          </w:r>
          <w:r>
            <w:rPr>
              <w:sz w:val="19"/>
              <w:szCs w:val="19"/>
            </w:rPr>
            <w:t>54</w:t>
          </w:r>
        </w:p>
        <w:p>
          <w:pPr>
            <w:tabs>
              <w:tab w:val="right" w:leader="dot" w:pos="9350"/>
            </w:tabs>
            <w:spacing w:after="40"/>
            <w:ind w:left="240"/>
          </w:pPr>
          <w:r>
            <w:rPr>
              <w:rFonts w:ascii="Calibri" w:cs="Calibri" w:eastAsia="Calibri" w:hAnsi="Calibri"/>
              <w:sz w:val="19"/>
              <w:szCs w:val="19"/>
            </w:rPr>
            <w:t xml:space="preserve">8.2 Mesures quantitatives à réaliser (gabarit)</w:t>
          </w:r>
          <w:r>
            <w:tab/>
          </w:r>
          <w:r>
            <w:rPr>
              <w:sz w:val="19"/>
              <w:szCs w:val="19"/>
            </w:rPr>
            <w:t>54</w:t>
          </w:r>
        </w:p>
        <w:p>
          <w:pPr>
            <w:tabs>
              <w:tab w:val="right" w:leader="dot" w:pos="9350"/>
            </w:tabs>
            <w:spacing w:after="40"/>
          </w:pPr>
          <w:r>
            <w:rPr>
              <w:rFonts w:ascii="Calibri" w:cs="Calibri" w:eastAsia="Calibri" w:hAnsi="Calibri"/>
              <w:b/>
              <w:bCs/>
              <w:sz w:val="19"/>
              <w:szCs w:val="19"/>
            </w:rPr>
            <w:t xml:space="preserve">9. Procédures opérationnelles</w:t>
          </w:r>
          <w:r>
            <w:tab/>
          </w:r>
          <w:r>
            <w:rPr>
              <w:sz w:val="19"/>
              <w:szCs w:val="19"/>
            </w:rPr>
            <w:t>56</w:t>
          </w:r>
        </w:p>
        <w:p>
          <w:pPr>
            <w:tabs>
              <w:tab w:val="right" w:leader="dot" w:pos="9350"/>
            </w:tabs>
            <w:spacing w:after="40"/>
            <w:ind w:left="240"/>
          </w:pPr>
          <w:r>
            <w:rPr>
              <w:rFonts w:ascii="Calibri" w:cs="Calibri" w:eastAsia="Calibri" w:hAnsi="Calibri"/>
              <w:sz w:val="19"/>
              <w:szCs w:val="19"/>
            </w:rPr>
            <w:t xml:space="preserve">9.1 Avant le vol</w:t>
          </w:r>
          <w:r>
            <w:tab/>
          </w:r>
          <w:r>
            <w:rPr>
              <w:sz w:val="19"/>
              <w:szCs w:val="19"/>
            </w:rPr>
            <w:t>56</w:t>
          </w:r>
        </w:p>
        <w:p>
          <w:pPr>
            <w:tabs>
              <w:tab w:val="right" w:leader="dot" w:pos="9350"/>
            </w:tabs>
            <w:spacing w:after="40"/>
            <w:ind w:left="240"/>
          </w:pPr>
          <w:r>
            <w:rPr>
              <w:rFonts w:ascii="Calibri" w:cs="Calibri" w:eastAsia="Calibri" w:hAnsi="Calibri"/>
              <w:sz w:val="19"/>
              <w:szCs w:val="19"/>
            </w:rPr>
            <w:t xml:space="preserve">9.2 Pendant le vol</w:t>
          </w:r>
          <w:r>
            <w:tab/>
          </w:r>
          <w:r>
            <w:rPr>
              <w:sz w:val="19"/>
              <w:szCs w:val="19"/>
            </w:rPr>
            <w:t>56</w:t>
          </w:r>
        </w:p>
        <w:p>
          <w:pPr>
            <w:tabs>
              <w:tab w:val="right" w:leader="dot" w:pos="9350"/>
            </w:tabs>
            <w:spacing w:after="40"/>
            <w:ind w:left="240"/>
          </w:pPr>
          <w:r>
            <w:rPr>
              <w:rFonts w:ascii="Calibri" w:cs="Calibri" w:eastAsia="Calibri" w:hAnsi="Calibri"/>
              <w:sz w:val="19"/>
              <w:szCs w:val="19"/>
            </w:rPr>
            <w:t xml:space="preserve">9.3 Procédures d'urgence (étapes numérotées)</w:t>
          </w:r>
          <w:r>
            <w:tab/>
          </w:r>
          <w:r>
            <w:rPr>
              <w:sz w:val="19"/>
              <w:szCs w:val="19"/>
            </w:rPr>
            <w:t>56</w:t>
          </w:r>
        </w:p>
        <w:p>
          <w:pPr>
            <w:tabs>
              <w:tab w:val="right" w:leader="dot" w:pos="9350"/>
            </w:tabs>
            <w:spacing w:after="40"/>
          </w:pPr>
          <w:r>
            <w:rPr>
              <w:rFonts w:ascii="Calibri" w:cs="Calibri" w:eastAsia="Calibri" w:hAnsi="Calibri"/>
              <w:b/>
              <w:bCs/>
              <w:sz w:val="19"/>
              <w:szCs w:val="19"/>
            </w:rPr>
            <w:t xml:space="preserve">10. Pièces administratives (check-list de dépôt)</w:t>
          </w:r>
          <w:r>
            <w:tab/>
          </w:r>
          <w:r>
            <w:rPr>
              <w:sz w:val="19"/>
              <w:szCs w:val="19"/>
            </w:rPr>
            <w:t>59</w:t>
          </w:r>
        </w:p>
        <w:p>
          <w:pPr>
            <w:tabs>
              <w:tab w:val="right" w:leader="dot" w:pos="9350"/>
            </w:tabs>
            <w:spacing w:after="40"/>
            <w:ind w:left="240"/>
          </w:pPr>
          <w:r>
            <w:rPr>
              <w:rFonts w:ascii="Calibri" w:cs="Calibri" w:eastAsia="Calibri" w:hAnsi="Calibri"/>
              <w:sz w:val="19"/>
              <w:szCs w:val="19"/>
            </w:rPr>
            <w:t xml:space="preserve">10.1 Deux rapports distincts</w:t>
          </w:r>
          <w:r>
            <w:tab/>
          </w:r>
          <w:r>
            <w:rPr>
              <w:sz w:val="19"/>
              <w:szCs w:val="19"/>
            </w:rPr>
            <w:t>60</w:t>
          </w:r>
        </w:p>
        <w:p>
          <w:pPr>
            <w:tabs>
              <w:tab w:val="right" w:leader="dot" w:pos="9350"/>
            </w:tabs>
            <w:spacing w:after="40"/>
          </w:pPr>
          <w:r>
            <w:rPr>
              <w:rFonts w:ascii="Calibri" w:cs="Calibri" w:eastAsia="Calibri" w:hAnsi="Calibri"/>
              <w:b/>
              <w:bCs/>
              <w:sz w:val="19"/>
              <w:szCs w:val="19"/>
            </w:rPr>
            <w:t xml:space="preserve">10bis. Glossaire et terminologie (NC-008)</w:t>
          </w:r>
          <w:r>
            <w:tab/>
          </w:r>
          <w:r>
            <w:rPr>
              <w:sz w:val="19"/>
              <w:szCs w:val="19"/>
            </w:rPr>
            <w:t>61</w:t>
          </w:r>
        </w:p>
        <w:p>
          <w:pPr>
            <w:tabs>
              <w:tab w:val="right" w:leader="dot" w:pos="9350"/>
            </w:tabs>
            <w:spacing w:after="40"/>
          </w:pPr>
          <w:r>
            <w:rPr>
              <w:rFonts w:ascii="Calibri" w:cs="Calibri" w:eastAsia="Calibri" w:hAnsi="Calibri"/>
              <w:b/>
              <w:bCs/>
              <w:sz w:val="19"/>
              <w:szCs w:val="19"/>
            </w:rPr>
            <w:t xml:space="preserve">10ter. Architecture technique — jonctions réelles (Tome 2)</w:t>
          </w:r>
          <w:r>
            <w:tab/>
          </w:r>
          <w:r>
            <w:rPr>
              <w:sz w:val="19"/>
              <w:szCs w:val="19"/>
            </w:rPr>
            <w:t>62</w:t>
          </w:r>
        </w:p>
        <w:p>
          <w:pPr>
            <w:tabs>
              <w:tab w:val="right" w:leader="dot" w:pos="9350"/>
            </w:tabs>
            <w:spacing w:after="40"/>
            <w:ind w:left="240"/>
          </w:pPr>
          <w:r>
            <w:rPr>
              <w:rFonts w:ascii="Calibri" w:cs="Calibri" w:eastAsia="Calibri" w:hAnsi="Calibri"/>
              <w:sz w:val="19"/>
              <w:szCs w:val="19"/>
            </w:rPr>
            <w:t xml:space="preserve">10ter.1 État des jonctions (NC-T2)</w:t>
          </w:r>
          <w:r>
            <w:tab/>
          </w:r>
          <w:r>
            <w:rPr>
              <w:sz w:val="19"/>
              <w:szCs w:val="19"/>
            </w:rPr>
            <w:t>62</w:t>
          </w:r>
        </w:p>
        <w:p>
          <w:pPr>
            <w:tabs>
              <w:tab w:val="right" w:leader="dot" w:pos="9350"/>
            </w:tabs>
            <w:spacing w:after="40"/>
            <w:ind w:left="240"/>
          </w:pPr>
          <w:r>
            <w:rPr>
              <w:rFonts w:ascii="Calibri" w:cs="Calibri" w:eastAsia="Calibri" w:hAnsi="Calibri"/>
              <w:sz w:val="19"/>
              <w:szCs w:val="19"/>
            </w:rPr>
            <w:t xml:space="preserve">10ter.2 Contrats de données (entrées critiques)</w:t>
          </w:r>
          <w:r>
            <w:tab/>
          </w:r>
          <w:r>
            <w:rPr>
              <w:sz w:val="19"/>
              <w:szCs w:val="19"/>
            </w:rPr>
            <w:t>63</w:t>
          </w:r>
        </w:p>
        <w:p>
          <w:pPr>
            <w:tabs>
              <w:tab w:val="right" w:leader="dot" w:pos="9350"/>
            </w:tabs>
            <w:spacing w:after="40"/>
            <w:ind w:left="240"/>
          </w:pPr>
          <w:r>
            <w:rPr>
              <w:rFonts w:ascii="Calibri" w:cs="Calibri" w:eastAsia="Calibri" w:hAnsi="Calibri"/>
              <w:sz w:val="19"/>
              <w:szCs w:val="19"/>
            </w:rPr>
            <w:t xml:space="preserve">10ter.3 Source unique de configuration (SafetyLimits) — NC-T2-019/022</w:t>
          </w:r>
          <w:r>
            <w:tab/>
          </w:r>
          <w:r>
            <w:rPr>
              <w:sz w:val="19"/>
              <w:szCs w:val="19"/>
            </w:rPr>
            <w:t>64</w:t>
          </w:r>
        </w:p>
        <w:p>
          <w:pPr>
            <w:tabs>
              <w:tab w:val="right" w:leader="dot" w:pos="9350"/>
            </w:tabs>
            <w:spacing w:after="40"/>
            <w:ind w:left="240"/>
          </w:pPr>
          <w:r>
            <w:rPr>
              <w:rFonts w:ascii="Calibri" w:cs="Calibri" w:eastAsia="Calibri" w:hAnsi="Calibri"/>
              <w:sz w:val="19"/>
              <w:szCs w:val="19"/>
            </w:rPr>
            <w:t xml:space="preserve">10ter.4 Chaîne image et intégration JNI — NC-T2-008</w:t>
          </w:r>
          <w:r>
            <w:tab/>
          </w:r>
          <w:r>
            <w:rPr>
              <w:sz w:val="19"/>
              <w:szCs w:val="19"/>
            </w:rPr>
            <w:t>65</w:t>
          </w:r>
        </w:p>
        <w:p>
          <w:pPr>
            <w:tabs>
              <w:tab w:val="right" w:leader="dot" w:pos="9350"/>
            </w:tabs>
            <w:spacing w:after="40"/>
            <w:ind w:left="240"/>
          </w:pPr>
          <w:r>
            <w:rPr>
              <w:rFonts w:ascii="Calibri" w:cs="Calibri" w:eastAsia="Calibri" w:hAnsi="Calibri"/>
              <w:sz w:val="19"/>
              <w:szCs w:val="19"/>
            </w:rPr>
            <w:t xml:space="preserve">10ter.4.1 Ce que garantissent les tests de sécurité (explication)</w:t>
          </w:r>
          <w:r>
            <w:tab/>
          </w:r>
          <w:r>
            <w:rPr>
              <w:sz w:val="19"/>
              <w:szCs w:val="19"/>
            </w:rPr>
            <w:t>65</w:t>
          </w:r>
        </w:p>
        <w:p>
          <w:pPr>
            <w:tabs>
              <w:tab w:val="right" w:leader="dot" w:pos="9350"/>
            </w:tabs>
            <w:spacing w:after="40"/>
            <w:ind w:left="240"/>
          </w:pPr>
          <w:r>
            <w:rPr>
              <w:rFonts w:ascii="Calibri" w:cs="Calibri" w:eastAsia="Calibri" w:hAnsi="Calibri"/>
              <w:sz w:val="19"/>
              <w:szCs w:val="19"/>
            </w:rPr>
            <w:t xml:space="preserve">10ter.5 Fréquence, threads et watchdog — NC-T2-005/014</w:t>
          </w:r>
          <w:r>
            <w:tab/>
          </w:r>
          <w:r>
            <w:rPr>
              <w:sz w:val="19"/>
              <w:szCs w:val="19"/>
            </w:rPr>
            <w:t>67</w:t>
          </w:r>
        </w:p>
        <w:p>
          <w:pPr>
            <w:tabs>
              <w:tab w:val="right" w:leader="dot" w:pos="9350"/>
            </w:tabs>
            <w:spacing w:after="40"/>
            <w:ind w:left="240"/>
          </w:pPr>
          <w:r>
            <w:rPr>
              <w:rFonts w:ascii="Calibri" w:cs="Calibri" w:eastAsia="Calibri" w:hAnsi="Calibri"/>
              <w:sz w:val="19"/>
              <w:szCs w:val="19"/>
            </w:rPr>
            <w:t xml:space="preserve">10ter.6 Identifiants d'exigences (extrait) — NC-T2-021</w:t>
          </w:r>
          <w:r>
            <w:tab/>
          </w:r>
          <w:r>
            <w:rPr>
              <w:sz w:val="19"/>
              <w:szCs w:val="19"/>
            </w:rPr>
            <w:t>67</w:t>
          </w:r>
        </w:p>
        <w:p>
          <w:pPr>
            <w:tabs>
              <w:tab w:val="right" w:leader="dot" w:pos="9350"/>
            </w:tabs>
            <w:spacing w:after="40"/>
          </w:pPr>
          <w:r>
            <w:rPr>
              <w:rFonts w:ascii="Calibri" w:cs="Calibri" w:eastAsia="Calibri" w:hAnsi="Calibri"/>
              <w:b/>
              <w:bCs/>
              <w:sz w:val="19"/>
              <w:szCs w:val="19"/>
            </w:rPr>
            <w:t xml:space="preserve">10quater. Safety Case formel (Tome 3)</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S.1 Objectif de sécurité G0 — statut OUVERT (NC-T3-001)</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S.2 Arbre GSN et statut par nœud (NC-T3-002)</w:t>
          </w:r>
          <w:r>
            <w:tab/>
          </w:r>
          <w:r>
            <w:rPr>
              <w:sz w:val="19"/>
              <w:szCs w:val="19"/>
            </w:rPr>
            <w:t>69</w:t>
          </w:r>
        </w:p>
        <w:p>
          <w:pPr>
            <w:tabs>
              <w:tab w:val="right" w:leader="dot" w:pos="9350"/>
            </w:tabs>
            <w:spacing w:after="40"/>
            <w:ind w:left="240"/>
          </w:pPr>
          <w:r>
            <w:rPr>
              <w:rFonts w:ascii="Calibri" w:cs="Calibri" w:eastAsia="Calibri" w:hAnsi="Calibri"/>
              <w:sz w:val="19"/>
              <w:szCs w:val="19"/>
            </w:rPr>
            <w:t xml:space="preserve">S.3 Hypothèses converties en exigences (NC-T3-003)</w:t>
          </w:r>
          <w:r>
            <w:tab/>
          </w:r>
          <w:r>
            <w:rPr>
              <w:sz w:val="19"/>
              <w:szCs w:val="19"/>
            </w:rPr>
            <w:t>70</w:t>
          </w:r>
        </w:p>
        <w:p>
          <w:pPr>
            <w:tabs>
              <w:tab w:val="right" w:leader="dot" w:pos="9350"/>
            </w:tabs>
            <w:spacing w:after="40"/>
            <w:ind w:left="240"/>
          </w:pPr>
          <w:r>
            <w:rPr>
              <w:rFonts w:ascii="Calibri" w:cs="Calibri" w:eastAsia="Calibri" w:hAnsi="Calibri"/>
              <w:sz w:val="19"/>
              <w:szCs w:val="19"/>
            </w:rPr>
            <w:t xml:space="preserve">S.4 Échelles de cotation P et G (NC-T3-004)</w:t>
          </w:r>
          <w:r>
            <w:tab/>
          </w:r>
          <w:r>
            <w:rPr>
              <w:sz w:val="19"/>
              <w:szCs w:val="19"/>
            </w:rPr>
            <w:t>70</w:t>
          </w:r>
        </w:p>
        <w:p>
          <w:pPr>
            <w:tabs>
              <w:tab w:val="right" w:leader="dot" w:pos="9350"/>
            </w:tabs>
            <w:spacing w:after="40"/>
            <w:ind w:left="240"/>
          </w:pPr>
          <w:r>
            <w:rPr>
              <w:rFonts w:ascii="Calibri" w:cs="Calibri" w:eastAsia="Calibri" w:hAnsi="Calibri"/>
              <w:sz w:val="19"/>
              <w:szCs w:val="19"/>
            </w:rPr>
            <w:t xml:space="preserve">S.5 Règle de crédit des barrières (NC-T3-006)</w:t>
          </w:r>
          <w:r>
            <w:tab/>
          </w:r>
          <w:r>
            <w:rPr>
              <w:sz w:val="19"/>
              <w:szCs w:val="19"/>
            </w:rPr>
            <w:t>70</w:t>
          </w:r>
        </w:p>
        <w:p>
          <w:pPr>
            <w:tabs>
              <w:tab w:val="right" w:leader="dot" w:pos="9350"/>
            </w:tabs>
            <w:spacing w:after="40"/>
            <w:ind w:left="240"/>
          </w:pPr>
          <w:r>
            <w:rPr>
              <w:rFonts w:ascii="Calibri" w:cs="Calibri" w:eastAsia="Calibri" w:hAnsi="Calibri"/>
              <w:sz w:val="19"/>
              <w:szCs w:val="19"/>
            </w:rPr>
            <w:t xml:space="preserve">S.6 Modèle de fiche ALARP par danger (NC-T3-005)</w:t>
          </w:r>
          <w:r>
            <w:tab/>
          </w:r>
          <w:r>
            <w:rPr>
              <w:sz w:val="19"/>
              <w:szCs w:val="19"/>
            </w:rPr>
            <w:t>70</w:t>
          </w:r>
        </w:p>
        <w:p>
          <w:pPr>
            <w:tabs>
              <w:tab w:val="right" w:leader="dot" w:pos="9350"/>
            </w:tabs>
            <w:spacing w:after="40"/>
            <w:ind w:left="240"/>
          </w:pPr>
          <w:r>
            <w:rPr>
              <w:rFonts w:ascii="Calibri" w:cs="Calibri" w:eastAsia="Calibri" w:hAnsi="Calibri"/>
              <w:sz w:val="19"/>
              <w:szCs w:val="19"/>
            </w:rPr>
            <w:t xml:space="preserve">S.7 Analyse des causes communes (NC-T3-010)</w:t>
          </w:r>
          <w:r>
            <w:tab/>
          </w:r>
          <w:r>
            <w:rPr>
              <w:sz w:val="19"/>
              <w:szCs w:val="19"/>
            </w:rPr>
            <w:t>71</w:t>
          </w:r>
        </w:p>
        <w:p>
          <w:pPr>
            <w:tabs>
              <w:tab w:val="right" w:leader="dot" w:pos="9350"/>
            </w:tabs>
            <w:spacing w:after="40"/>
            <w:ind w:left="240"/>
          </w:pPr>
          <w:r>
            <w:rPr>
              <w:rFonts w:ascii="Calibri" w:cs="Calibri" w:eastAsia="Calibri" w:hAnsi="Calibri"/>
              <w:sz w:val="19"/>
              <w:szCs w:val="19"/>
            </w:rPr>
            <w:t xml:space="preserve">S.8 Arbres de défaillance (fault trees) — NC-T3-012</w:t>
          </w:r>
          <w:r>
            <w:tab/>
          </w:r>
          <w:r>
            <w:rPr>
              <w:sz w:val="19"/>
              <w:szCs w:val="19"/>
            </w:rPr>
            <w:t>71</w:t>
          </w:r>
        </w:p>
        <w:p>
          <w:pPr>
            <w:tabs>
              <w:tab w:val="right" w:leader="dot" w:pos="9350"/>
            </w:tabs>
            <w:spacing w:after="40"/>
            <w:ind w:left="240"/>
          </w:pPr>
          <w:r>
            <w:rPr>
              <w:rFonts w:ascii="Calibri" w:cs="Calibri" w:eastAsia="Calibri" w:hAnsi="Calibri"/>
              <w:sz w:val="19"/>
              <w:szCs w:val="19"/>
            </w:rPr>
            <w:t xml:space="preserve">S.9 Identifiants stables et gouvernance (NC-T3-014/016/023/022)</w:t>
          </w:r>
          <w:r>
            <w:tab/>
          </w:r>
          <w:r>
            <w:rPr>
              <w:sz w:val="19"/>
              <w:szCs w:val="19"/>
            </w:rPr>
            <w:t>72</w:t>
          </w:r>
        </w:p>
        <w:p>
          <w:pPr>
            <w:tabs>
              <w:tab w:val="right" w:leader="dot" w:pos="9350"/>
            </w:tabs>
            <w:spacing w:after="40"/>
          </w:pPr>
          <w:r>
            <w:rPr>
              <w:rFonts w:ascii="Calibri" w:cs="Calibri" w:eastAsia="Calibri" w:hAnsi="Calibri"/>
              <w:b/>
              <w:bCs/>
              <w:sz w:val="19"/>
              <w:szCs w:val="19"/>
            </w:rPr>
            <w:t xml:space="preserve">11. Références réglementaires</w:t>
          </w:r>
          <w:r>
            <w:tab/>
          </w:r>
          <w:r>
            <w:rPr>
              <w:sz w:val="19"/>
              <w:szCs w:val="19"/>
            </w:rPr>
            <w:t>73</w:t>
          </w:r>
        </w:p>
        <w:p>
          <w:pPr>
            <w:tabs>
              <w:tab w:val="right" w:leader="dot" w:pos="9350"/>
            </w:tabs>
            <w:spacing w:after="40"/>
          </w:pPr>
          <w:r>
            <w:rPr>
              <w:rFonts w:ascii="Calibri" w:cs="Calibri" w:eastAsia="Calibri" w:hAnsi="Calibri"/>
              <w:b/>
              <w:bCs/>
              <w:sz w:val="19"/>
              <w:szCs w:val="19"/>
            </w:rPr>
            <w:t xml:space="preserve">12. Feuille de route de validation (blocages)</w:t>
          </w:r>
          <w:r>
            <w:tab/>
          </w:r>
          <w:r>
            <w:rPr>
              <w:sz w:val="19"/>
              <w:szCs w:val="19"/>
            </w:rPr>
            <w:t>74</w:t>
          </w:r>
        </w:p>
        <w:p>
          <w:pPr>
            <w:tabs>
              <w:tab w:val="right" w:leader="dot" w:pos="9350"/>
            </w:tabs>
            <w:spacing w:after="40"/>
            <w:ind w:left="240"/>
          </w:pPr>
          <w:r>
            <w:rPr>
              <w:rFonts w:ascii="Calibri" w:cs="Calibri" w:eastAsia="Calibri" w:hAnsi="Calibri"/>
              <w:sz w:val="19"/>
              <w:szCs w:val="19"/>
            </w:rPr>
            <w:t xml:space="preserve">12.1 Blocages AVANT toute émission réelle 2D</w:t>
          </w:r>
          <w:r>
            <w:tab/>
          </w:r>
          <w:r>
            <w:rPr>
              <w:sz w:val="19"/>
              <w:szCs w:val="19"/>
            </w:rPr>
            <w:t>74</w:t>
          </w:r>
        </w:p>
        <w:p>
          <w:pPr>
            <w:tabs>
              <w:tab w:val="right" w:leader="dot" w:pos="9350"/>
            </w:tabs>
            <w:spacing w:after="40"/>
            <w:ind w:left="240"/>
          </w:pPr>
          <w:r>
            <w:rPr>
              <w:rFonts w:ascii="Calibri" w:cs="Calibri" w:eastAsia="Calibri" w:hAnsi="Calibri"/>
              <w:sz w:val="19"/>
              <w:szCs w:val="19"/>
            </w:rPr>
            <w:t xml:space="preserve">12.2 Blocages AVANT dépôt du SFOC</w:t>
          </w:r>
          <w:r>
            <w:tab/>
          </w:r>
          <w:r>
            <w:rPr>
              <w:sz w:val="19"/>
              <w:szCs w:val="19"/>
            </w:rPr>
            <w:t>74</w:t>
          </w:r>
        </w:p>
        <w:p>
          <w:pPr>
            <w:tabs>
              <w:tab w:val="right" w:leader="dot" w:pos="9350"/>
            </w:tabs>
            <w:spacing w:after="40"/>
          </w:pPr>
          <w:r>
            <w:rPr>
              <w:rFonts w:ascii="Calibri" w:cs="Calibri" w:eastAsia="Calibri" w:hAnsi="Calibri"/>
              <w:b/>
              <w:bCs/>
              <w:sz w:val="19"/>
              <w:szCs w:val="19"/>
            </w:rPr>
            <w:t xml:space="preserve">13. Retours d'expérience administratifs — non crédités comme exigences réglementaires</w:t>
          </w:r>
          <w:r>
            <w:tab/>
          </w:r>
          <w:r>
            <w:rPr>
              <w:sz w:val="19"/>
              <w:szCs w:val="19"/>
            </w:rPr>
            <w:t>76</w:t>
          </w:r>
        </w:p>
        <w:p>
          <w:pPr>
            <w:tabs>
              <w:tab w:val="right" w:leader="dot" w:pos="9350"/>
            </w:tabs>
            <w:spacing w:after="40"/>
            <w:ind w:left="240"/>
          </w:pPr>
          <w:r>
            <w:rPr>
              <w:rFonts w:ascii="Calibri" w:cs="Calibri" w:eastAsia="Calibri" w:hAnsi="Calibri"/>
              <w:sz w:val="19"/>
              <w:szCs w:val="19"/>
            </w:rPr>
            <w:t xml:space="preserve">13.1 Tableau de statuts</w:t>
          </w:r>
          <w:r>
            <w:tab/>
          </w:r>
          <w:r>
            <w:rPr>
              <w:sz w:val="19"/>
              <w:szCs w:val="19"/>
            </w:rPr>
            <w:t>76</w:t>
          </w:r>
        </w:p>
        <w:p>
          <w:pPr>
            <w:tabs>
              <w:tab w:val="right" w:leader="dot" w:pos="9350"/>
            </w:tabs>
            <w:spacing w:after="40"/>
            <w:ind w:left="240"/>
          </w:pPr>
          <w:r>
            <w:rPr>
              <w:rFonts w:ascii="Calibri" w:cs="Calibri" w:eastAsia="Calibri" w:hAnsi="Calibri"/>
              <w:sz w:val="19"/>
              <w:szCs w:val="19"/>
            </w:rPr>
            <w:t xml:space="preserve">13.2 Formulations prudentes retenues</w:t>
          </w:r>
          <w:r>
            <w:tab/>
          </w:r>
          <w:r>
            <w:rPr>
              <w:sz w:val="19"/>
              <w:szCs w:val="19"/>
            </w:rPr>
            <w:t>77</w:t>
          </w:r>
        </w:p>
        <w:p>
          <w:pPr>
            <w:tabs>
              <w:tab w:val="right" w:leader="dot" w:pos="9350"/>
            </w:tabs>
            <w:spacing w:after="40"/>
            <w:ind w:left="240"/>
          </w:pPr>
          <w:r>
            <w:rPr>
              <w:rFonts w:ascii="Calibri" w:cs="Calibri" w:eastAsia="Calibri" w:hAnsi="Calibri"/>
              <w:sz w:val="19"/>
              <w:szCs w:val="19"/>
            </w:rPr>
            <w:t xml:space="preserve">13.3 Point de vérité — origine du besoin de Safety Case</w:t>
          </w:r>
          <w:r>
            <w:tab/>
          </w:r>
          <w:r>
            <w:rPr>
              <w:sz w:val="19"/>
              <w:szCs w:val="19"/>
            </w:rPr>
            <w:t>77</w:t>
          </w:r>
        </w:p>
        <w:p>
          <w:pPr>
            <w:tabs>
              <w:tab w:val="right" w:leader="dot" w:pos="9350"/>
            </w:tabs>
            <w:spacing w:after="40"/>
          </w:pPr>
          <w:r>
            <w:rPr>
              <w:rFonts w:ascii="Calibri" w:cs="Calibri" w:eastAsia="Calibri" w:hAnsi="Calibri"/>
              <w:b/>
              <w:bCs/>
              <w:sz w:val="19"/>
              <w:szCs w:val="19"/>
            </w:rPr>
            <w:t xml:space="preserve">Approbation finale du dossier</w:t>
          </w:r>
          <w:r>
            <w:tab/>
          </w:r>
          <w:r>
            <w:rPr>
              <w:sz w:val="19"/>
              <w:szCs w:val="19"/>
            </w:rPr>
            <w:t>79</w:t>
          </w:r>
        </w:p>
        <w:p>
          <w:pPr>
            <w:tabs>
              <w:tab w:val="right" w:leader="dot" w:pos="9350"/>
            </w:tabs>
            <w:spacing w:after="40"/>
            <w:ind w:left="240"/>
          </w:pPr>
          <w:r>
            <w:rPr>
              <w:rFonts w:ascii="Calibri" w:cs="Calibri" w:eastAsia="Calibri" w:hAnsi="Calibri"/>
              <w:sz w:val="19"/>
              <w:szCs w:val="19"/>
            </w:rPr>
            <w:t xml:space="preserve">Annexe — Rapport JUnit historique (SUPERSEDED : sous-ensemble soccer 26 classes / 278 cas ; décompte à jour au</w:t>
          </w:r>
          <w:r>
            <w:tab/>
          </w:r>
          <w:r>
            <w:rPr>
              <w:sz w:val="19"/>
              <w:szCs w:val="19"/>
            </w:rPr>
            <w:t>79</w:t>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Configuration opérationnelle figée demandée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la configuration opérationnelle figée sur le chemin logique testé jusqu'à l'arbitre ; le verrou logiciel obstacleGateAllows a été RETIRÉ de la baseline altitude en v51 (preuve d'indépendance, 512 combinaisons) — l'émission RÉELLE n'est toutefois PAS démontrée sur l'aéronef (SOCCER_2D_REAL_ENABLED=false ; E-03 requis)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717 cas de test automatisés (le 278 est un rapport JUnit historique, superseded — voir manifeste §7), 0 échec, dont DEUX preuves exhaustives de l'arbitre, chacune sur 512 combinaisons (2⁹) : chemin HORIZONTAL (9 conditions, un seul cas autorise) et baseline ALTITUDE (8 conditions applicables, indépendance du bit gate prouvée bit à bit).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l'événement est annoncé au public ; le périmètre officiel de l'événement sera cartographié. Le scénario SFOC événement annoncé (RAC partie IX, microdrones inclus depuis 2025-04-01, pour un vol à moins de 30 m des limites de l'événement) est retenu PROVISOIREMENT ; son applicabilité sera confirmée lorsque la distance minimale entre le volume de vol et les limites de l'événement aura été établie.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de la Norme 922 : elles seront déterminées à partir de la MASSE, de la DISTANCE HORIZONTALE réelle aux personnes et de la présence ou non d'un SURVOL — le survol n'est PAS déduit automatiquement d'une distance horizontale inférieure à 5 m (les deux notions sont géométriquement distinctes, même si le scénario interdit les deux). Voir §5 et le calcul de confinement §4.2.</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§5.3.</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OFFICIEL de demande de SFOC-RPAS lié depuis la page TC « Événement annoncé » — numéro et révision À VÉRIFIER le jour du téléchargement —,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+ 717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717 cas de test automatisés (couverture soccer 86,7% instr / 72,4% branches ; périmètre sécurité complet 40,7% / 36,2% ;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(§6.4) ET MOYENS (§6.5)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(§4.2.3 : zones, buffer, pilote/observateur) ; RESTE : déterminer OFFICIELLEMENT la classe d'espace aérien et les exigences ATS/NAV Drone applicables ; obtenir toute permission générée lorsqu'elle est requise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≈16 m à 2 m/s — VALEUR DE CONCEPTION PROVISOIRE (§4.2.2 ; hypothèses non démontrées : décélération, latence, persistance, reprise, dérive) + plan à l'échelle (§4.2.3) ; + analyse géométrique du site (§4.2.4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NEUF procédures d'urgence numérotées (§9.3.1 à §9.3.9 : intrusion, perte RC, anomalie logiciel, météo, arrêt d'urgence, perte vidéo, batterie, perte GPS, perte VLOS), complétées par la section Autorité et communications (§9.3.10) ; fiche exercice préparée + responsables nommés (§9.3.10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 pesée officielle (si &lt; 250 g → certificat et immatriculation S/O ; si ≥ 250 g → documents applicables) ; AVANT dépôt : analyse d'espace aérien ; APRÈS délivrance du SFOC et avant chaque opération : opération NAV Drone + RPAS Operation Summary accepté ; retours de permissions signés ; attestation d'assurance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(§4.2.1/§4.2.2 : buffer ~16 m à 2 m/s, VALEUR PROVISOIRE non démontrée) ; qualification de majorant + verrouillage conditionnés aux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 DE SÉPARATION DÉFINIE — géométrie réelle NON encore démontrée (§4.2.4 : dépistage latéral ≥ 16,2 m + plan à l'échelle §4.2.3)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(§6.4) + dangers MOYENS (§6.5)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remplacée par REQ-FS-001 (EXIGENCE OUVERTE) — le comportement failsafe DJI configuré (RTH, stationnaire) DOIT être démontré par E-03/E-09 avant tout crédit ; aucun fonctionnement « selon les spécifications » n'est présumé.</w:t>
      </w:r>
    </w:p>
    <w:p>
      <w:pPr>
        <w:pStyle w:val="ListParagraph"/>
        <w:numPr>
          <w:ilvl w:val="0"/>
          <w:numId w:val="1"/>
        </w:numPr>
        <w:spacing w:after="60" w:line="270"/>
      </w:pPr>
      <w:r>
        <w:rPr>
          <w:rFonts w:ascii="Calibri" w:cs="Calibri" w:eastAsia="Calibri" w:hAnsi="Calibri"/>
          <w:sz w:val="21"/>
          <w:szCs w:val="21"/>
        </w:rPr>
        <w:t xml:space="preserve">A2 remplacée par REQ-HF-001 (EXIGENCE OUVERTE) — la communication pilote-observateurs et le respect des procédures DOIVENT être validés par briefing et exercice documenté (fiche d'intrusion) avant crédit.</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§5.2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l'application force la commande à une valeur neutre / bloque son émission — le comportement physique résultant est à caractériser par E-03 avant d'être qualifié de hover).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baseline source v54 = commits 31c7df7 + acf6312 + bc66b47 ; commit final RELEASE et hash APK : À PRODUIRE).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conditions d'armement — en DEUX preuves : chemin horizontal (9 conditions) et baseline altitude (8 conditions applicables, gate hors périmètre) — tandis que la priorité pilote et l'urgence sont vérifiées séparément et testées à part (voir §7). La preuve « 512 » concerne UNIQUEMENT l'arbitre (FlightCommandArbiter). Le double verrou 2D (Emission2DGuard) est testé par ses propres cas dédiés (26 tests directs dans l'exécution actuelle, dont la preuve d'indépendance du bit gate ; l'extrait historique en annexe montrait l'ancien état de 13),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la baseline altitude seule, cette condition est RETIRÉE du chemin d'émission depuis la v51 (l'arbitre l'ignore ; preuve d'indépendance sur 512 combinaisons) et demeure NON CRÉDITÉE comme barrière d'évitement. Sur le chemin HORIZONTAL (rail/2D réel, hors périmètre de la demande), le drapeau reste une condition dure, à false (fail-closed) tant qu'une fonction d'évitement n'est pas définie, documentée et démontrée — capteur, portée, angles morts, conditions de lumière, latence, comportement si indisponible). Le confinement repose donc sur le géorepérage + buffer (§4.2)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restreint à l'ALTITUDE AUTOMATISÉE (SoccerDirector → contrôleur d'altitude → Emission2DGuard → arbitre). Le décalage latéral proposé par SoccerDirector reste en MIROIR/JOURNAL — jamais émis (roll/pitch/yaw = 0 reconstruits). Le mode rail est une capacité distincte de l'application,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logiciel réel — exécuté et testé jusqu'à l'arbitre ; l'émission matérielle demeure NON démontrée —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(à corriger ; ne réduit pas la criticité).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Demande couvrant PLUSIEURS OPÉRATIONS planifiées (AC 903-002), aux dates et sites énumérés dans les annexes opérationnelles. Une annexe complète par site (géométrie, espace aérien, personnes, risques, permissions, procédures adaptées).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Multi-opérations : les sites, dates, heures, buts, volumes et analyses couverts doivent être INCLUS DANS LA DEMANDE INITIALE et dans le certificat délivré, ou faire l'objet d'une modification / nouvelle autorisation AVANT leur ajout (AC 903-002). Le regroupement AC 903-002 ne garantit ni autorisation permanente ni nationale ; chaque site/période/opération doit être suffisamment décrit.</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4.0.2 Paramètres détaillés de l'opération</w:t>
      </w:r>
    </w:p>
    <w:p>
      <w:pPr>
        <w:pStyle w:val="Heading2"/>
        <w:spacing w:after="100" w:before="200"/>
      </w:pPr>
      <w:r>
        <w:rPr>
          <w:rFonts w:ascii="Calibri" w:cs="Calibri" w:eastAsia="Calibri" w:hAnsi="Calibri"/>
          <w:b/>
          <w:bCs/>
          <w:color w:val="1F3864"/>
        </w:rPr>
        <w:t xml:space="preserve">4.0.3 Site réel de l'opération (renseigné 2026-07-20)</w:t>
      </w:r>
    </w:p>
    <w:p>
      <w:pPr>
        <w:spacing w:after="100" w:line="276"/>
      </w:pPr>
      <w:r>
        <w:rPr>
          <w:rFonts w:ascii="Calibri" w:cs="Calibri" w:eastAsia="Calibri" w:hAnsi="Calibri"/>
          <w:sz w:val="21"/>
          <w:szCs w:val="21"/>
        </w:rPr>
        <w:t xml:space="preserve">Site retenu (données réelles, remplacent les À CONFIRMER PAR L'EXPLOITANT : du §4.0 et §4.0.2)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Modes de suivi de l'APPLICATION : deux modes sélectionnables dans le menu SOCCER (RAIL — le drone reste sur un rail latéral ; 2D TERRAIN — le drone se place en retrait de l'action). PÉRIMÈTRE DE LA DEMANDE : altitude automatisée SEULE ; les déplacements horizontaux automatisés (rail ET retrait 2D) sont VERROUILLÉS pendant les opérations SFOC (SOCCER_RAIL_REAL_ENABLED=false ; roll/pitch/yaw reconstruits à 0 au point d'émission). Le profil de rail de l'outil de préparation (orientation gauche→droite, altitude 25 m, vitesse 2,0 m/s, position sûre 0,5) documente une capacité FUTURE, non demandée ici. Position initiale : le drone est amené MANUELLEMENT par le pilote à sa position de retrait, puis l'altitude automatisée est armée.</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4.0.4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PRÉSUMÉ en espace aérien contrôlé — classe À DÉTERMINER OFFICIELLEMENT au point et aux altitudes de l'opération (proximité de l'aéroport Montréal–Trudeau / CYUL et de l'aéroport métropolitain / CYHU, densité urbaine, héliports hospitaliers dont le CHUM). La proximité de CYUL/CYHU, des héliports et la densité urbaine ne suffisent PAS à établir juridiquement la classe : À DÉTERMINER OFFICIELLEMENT (NAV Drone — outil officiel de planification et de demande de permission — ET par les publications aéronautiques applicables — cartes VFR, Supplément de vol – Canada, Manuel des espaces aériens désignés ; les NOTAM sont vérifiés par les sources aéronautiques officielles). L'opération sera créée dans NAV Drone sous catégorie SFOC APRÈS la délivrance du SFOC ; toute permission générée sera obtenue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Identifier TOUS les héliports certifiés figurant dans le CFS (Supplément de vol – Canada) et leurs circuits, notamment les héliports hospitaliers (CHUM). Si l'opération se trouve à moins de 1,9 km d'un héliport certifié, documenter la procédure applicable, les permissions et les conditions du SFOC ; ne PAS présumer qu'une distance seule règle le risque de rencontre.</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l'analyse d'espace aérien, la méthode d'obtention des permissions et les informations requises ne sont pas jointes, la demande SFOC n'est pas complète. Après délivrance du SFOC, les permissions NAV Drone applicables devront être obtenues avant l'exécution : l'opération n'est pas EXÉCUTABLE sans elles (condition de VOL, non de dépôt).</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Position PRÉVUE : à côté du terrain, survol de personnes INTERDIT — séparation à confirmer par le relevé et le plan final ; volume de vol séparé du public et du terrain par des marges (voir §4.2)</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(scénario dimensionnant)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Objectif ≥ 30 m ; à DÉMONTRER par le calcul de confinement §4.2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15–35 m AU-DESSUS DE L'ALTITUDE DE RÉFÉRENCE DU DÉCOLLAGE (KeyAltitude = altitude RELATIVE au point de décollage, PAS l'AGL terrain). La hauteur AGL réelle sur l'ensemble du volume sera obtenue par relevé du terrain et vérifiée avant l'opération ; deux variables distinctes sont tenues : altitude_relative_takeoff_m et height_agl_estimated_m. Plafond logiciel 35 m ; plafond réglementaire 122 m à démontrer en AGL réel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 QUALIFICATION DU FONDEMENT (critère officiel TC) : le périmètre réel de l'événement sera cartographié ; la distance minimale entre toute position du RPAS et la limite de ce périmètre sera calculée. Si l'opération se déroule à moins de 30 m de cette limite, le SFOC-RPAS pour événement annoncé est requis. Si la séparation demeure d'au moins 30 m, l'applicabilité de ce fondement sera réévaluée selon les règles et conditions opérationnelles restantes. Le scénario CONSERVATEUR (SFOC demandé) est retenu tant que le périmètre n'est pas cartographié. Le plan devra distinguer : périmètre officiel de l'événement, distance du volume de vol à ce périmètre, limite du terrain sportif, limites du public et des accès, distance aux personnes (la limite d'événement n'est ni la ligne de touche, ni le joueur le plus proche, ni les gradins).</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§4.2.</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§4.2.</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4.2.1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dépassement maximal crédible avant arrêt. Il se calcule comme la somme des distances parcourues durant chaque latence, plus le freinage et une marge. Les paramètres proviennent du code réel (Phase3Activity.kt) ; TOUS les termes non mesurés du calcul demeurent PROVISOIRES (freinage, latences, position, vent, erreur cartographique, persistance de commande, reprise pilote) tant qu'ils ne sont pas mesurés.</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 2,0 s (RTK_AGE_MAX_S) ; au-delà, la commande automatisée est neutralisée/bloquée (réaction physique à caractériser, E-03).</w:t>
      </w:r>
    </w:p>
    <w:p>
      <w:pPr>
        <w:spacing w:after="100" w:line="276"/>
      </w:pPr>
      <w:r>
        <w:rPr>
          <w:rFonts w:ascii="Calibri" w:cs="Calibri" w:eastAsia="Calibri" w:hAnsi="Calibri"/>
          <w:sz w:val="21"/>
          <w:szCs w:val="21"/>
        </w:rPr>
        <w:t xml:space="preserve">Chaîne de distance (scénario de calcul PROVISOIRE,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additionnelle FORFAITAIRE = 5,00 m — PROVISOIRE, à remplacer par des termes mesurés distincts : erreur GNSS horizontale, délai de mise à jour de position, dérive au vent, erreur cartographique, tolérance de géorepérage, imprécision de la limite réelle du site, incertitude statistique des essais</w:t>
      </w:r>
    </w:p>
    <w:p>
      <w:pPr>
        <w:spacing w:after="100" w:line="276"/>
      </w:pPr>
      <w:r>
        <w:rPr>
          <w:rFonts w:ascii="Calibri" w:cs="Calibri" w:eastAsia="Calibri" w:hAnsi="Calibri"/>
          <w:b/>
          <w:bCs/>
          <w:sz w:val="21"/>
          <w:szCs w:val="21"/>
        </w:rPr>
        <w:t xml:space="preserve">BUFFER TOTAL (somme brute des délais, scénario provisoire) ≈ 28,7 m à 4 m/s. Conséquence : pour viser ≥ 30 m réels au non-impliqué le plus proche dans ce scénario, la distance nominale de vol devrait être ≥ ~59 m — irréaliste sur un terrain. Le facteur DOMINANT est la vitesse (le freinage varie en v²). MÉTHODE CIBLE (v51, à appliquer avec les mesures E-03/E-12) : la somme brute suppose que TOUS les délais s'enchaînent intégralement — ce qui n'est pas nécessairement le cas — et pourrait aussi OMETTRE une persistance Virtual Stick révélée par E-03. Le buffer final sera le MAXIMUM CRÉDIBLE parmi des scénarios de défaillance séparés, chacun évalué comme d_excursion = d_avant_détection + d_persistance + d_réponse + d_arrêt + d_environnement : (1) détection YOLO périmée ; (2) position drone périmée ; (3) commande persistante après gel ; (4) reprise pilote ; (5) perte de liaison ; (6) dérive au vent ; (7) erreur de position ; (8) combinaison de causes communes crédibles — avec incertitude statistique. La somme brute actuelle est conservée comme scénario ENVELOPPE PROVISOIRE en attendant les mesures.</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PORTÉE : la vitesse horizontale ne concerne que les modes horizontaux FUTURS (hors demande) et le scénario enveloppe d'une vitesse horizontale présente au moment d'un gel/d'une reprise ; la baseline demandée n'automatise AUCUN mouvement horizontal. RECOMMANDATION DE CONCEPTION (modes futurs)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hypothèses de calcul PROVISOIRES, non des valeurs démontrées ; aucune qualification de majorant avant les essais.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par scénarios de défaillance (voir méthode ci-dessous).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borne à mesurer)</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‹e_pos› m — selon §5.2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4.2.2 Buffer à vMax verrouillé 2 m/s (renforcement 2026-07-20)</w:t>
      </w:r>
    </w:p>
    <w:p>
      <w:pPr>
        <w:spacing w:after="80" w:line="272"/>
      </w:pPr>
      <w:r>
        <w:rPr>
          <w:rFonts w:ascii="Calibri" w:cs="Calibri" w:eastAsia="Calibri" w:hAnsi="Calibri"/>
          <w:sz w:val="21"/>
          <w:szCs w:val="21"/>
        </w:rPr>
        <w:t xml:space="preserve">Ce calcul fournit une VALEUR DE CONCEPTION PROVISOIRE du buffer (non démontrée, non qualifiée de majorant avant les mesures E-03/E-12/freinage/latence/position/vent),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Le vol soccer est limité à 2 m/s par verrouillage logiciel (SafetyLimits). Aucune marge de contrôle ni aucun freinage supérieur n'est présumé de ce seul fait : toutes les performances réelles restent à mesurer.</w:t>
      </w:r>
    </w:p>
    <w:p>
      <w:pPr>
        <w:spacing w:after="80" w:line="272"/>
      </w:pPr>
      <w:r>
        <w:rPr>
          <w:rFonts w:ascii="Calibri" w:cs="Calibri" w:eastAsia="Calibri" w:hAnsi="Calibri"/>
          <w:sz w:val="21"/>
          <w:szCs w:val="21"/>
        </w:rPr>
        <w:t xml:space="preserve">Chaîne de distance à 2 m/s (hypothèse de calcul PROVISOIRE : a = 1,0 m/s², non démontrée)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hypothèse provisoire non démontrée)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forfaitaire = 5,00 m — PROVISOIRE, à décomposer en termes mesurés distincts (voir §4.2.1)</w:t>
      </w:r>
    </w:p>
    <w:p>
      <w:pPr>
        <w:spacing w:after="80" w:line="272"/>
      </w:pPr>
      <w:r>
        <w:rPr>
          <w:rFonts w:ascii="Calibri" w:cs="Calibri" w:eastAsia="Calibri" w:hAnsi="Calibri"/>
          <w:b/>
          <w:bCs/>
          <w:sz w:val="21"/>
          <w:szCs w:val="21"/>
        </w:rPr>
        <w:t xml:space="preserve">BUFFER PROVISOIRE CALCULÉ ≈ 16,2 m à 2 m/s, avec les hypothèses de travail ci-dessus (non démontrées).</w:t>
      </w:r>
    </w:p>
    <w:p>
      <w:pPr>
        <w:spacing w:after="80" w:line="272"/>
      </w:pPr>
      <w:r>
        <w:rPr>
          <w:rFonts w:ascii="Calibri" w:cs="Calibri" w:eastAsia="Calibri" w:hAnsi="Calibri"/>
          <w:sz w:val="21"/>
          <w:szCs w:val="21"/>
        </w:rPr>
        <w:t xml:space="preserve">Robustesse À DÉMONTRER (correction audit) : on POSTULE qu'un freinage réel réduirait le buffer, mais ce n'est PAS démontré — une décélération &lt; 1 m/s², une commande persistante, une perte de position, un vent défavorable ou un délai de reprise &gt; 2 s pourraient AUGMENTER la distance. La mesure réelle en vol peut CONFIRMER, RÉDUIRE ou AUGMENTER ce buffer (une commande persistante, une perte de position, un vent défavorable ou une reprise plus lente l'AUGMENTERAIENT).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(hypothèse basse provisoire)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(valeur NON démontrée pour ce drone) → buffer 14,7 m</w:t>
      </w:r>
    </w:p>
    <w:p>
      <w:pPr>
        <w:spacing w:after="80" w:line="272"/>
      </w:pPr>
      <w:r>
        <w:rPr>
          <w:rFonts w:ascii="Calibri" w:cs="Calibri" w:eastAsia="Calibri" w:hAnsi="Calibri"/>
          <w:b/>
          <w:bCs/>
          <w:sz w:val="21"/>
          <w:szCs w:val="21"/>
        </w:rPr>
        <w:t xml:space="preserve">CONCLUSION (valeur maîtresse CONF-BUFFER-001 — toute fiche du dossier doit renvoyer ici plutôt que répéter le chiffre) : le buffer de 16,2 m constitue une VALEUR DE CONCEPTION PROVISOIRE obtenue avec des hypothèses de travail. Il n'est ni démontré, ni qualifié de robuste, ni reconnu comme majorant opérationnel. Sa valeur finale dépend notamment d'E-03, d'E-12, du freinage réel, des latences, de la précision de position, du vent et de la configuration Virtual Stick. Le buffer (excursion après défaillance) NE DOIT PAS être confondu avec la distance minimale visée (30 m) : si l'objectif interne est de conserver 30 m APRÈS une excursion de 16,2 m, la trajectoire NOMINALE doit être planifiée à distance supérieure (≈ 46 m), pas à 16,2 m. La mesure en vol peut CONFIRMER, RÉDUIRE ou AUGMENTER le buffer ; aucune direction n'est présumée avant les mesures.</w:t>
      </w:r>
    </w:p>
    <w:p>
      <w:pPr>
        <w:pStyle w:val="Heading2"/>
        <w:spacing w:after="100" w:before="200"/>
      </w:pPr>
      <w:r>
        <w:rPr>
          <w:rFonts w:ascii="Calibri" w:cs="Calibri" w:eastAsia="Calibri" w:hAnsi="Calibri"/>
          <w:b/>
          <w:bCs/>
          <w:color w:val="1F3864"/>
        </w:rPr>
        <w:t xml:space="preserve">4.2.3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de confinement (valeur retenue : 16,2 m à vMax 2 m/s, §4.2.2 ; le schéma est indicatif et doit être ajusté au relevé réel).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(16,2 m — valeur retenue §4.2.2, désormais représentée sur le schéma ; à ajuster au relevé réel)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EXIGENCES DU PLAN FINAL (relevé géoréférencé) : coordonnées des sommets ; périmètre officiel de l'événement ; limites du terrain ; position des joueurs la plus défavorable ; spectateurs, gradins et bancs ; allées et entrées publiques ; obstacles (arbres, filets, poteaux, luminaires) ; volume opérationnel ; volume de contingence ; polygone logiciel interne ; corridor d'urgence ; trajectoires de décollage et d'atterrissage ; corridor/comportement RTH ; altitude et volume en trois dimensions. La règle « au moins un côté ≥ 16,2 m » ne suffit PAS à démontrer les extrémités, le décollage, l'atterrissage, la reprise pilote et le RTH. Les distances de buffer seront VERROUILLÉES après mesure du freinage réel et du délai de reprise en vol (§4.2.1).</w:t>
      </w:r>
    </w:p>
    <w:p>
      <w:pPr>
        <w:pStyle w:val="Heading2"/>
        <w:spacing w:after="100" w:before="200"/>
      </w:pPr>
      <w:r>
        <w:rPr>
          <w:rFonts w:ascii="Calibri" w:cs="Calibri" w:eastAsia="Calibri" w:hAnsi="Calibri"/>
          <w:b/>
          <w:bCs/>
          <w:color w:val="1F3864"/>
        </w:rPr>
        <w:t xml:space="preserve">4.2.4 Analyse géométrique du site vs buffer (2026-07-20)</w:t>
      </w:r>
    </w:p>
    <w:p>
      <w:pPr>
        <w:spacing w:after="80" w:line="272"/>
      </w:pPr>
      <w:r>
        <w:rPr>
          <w:rFonts w:ascii="Calibri" w:cs="Calibri" w:eastAsia="Calibri" w:hAnsi="Calibri"/>
          <w:sz w:val="21"/>
          <w:szCs w:val="21"/>
        </w:rPr>
        <w:t xml:space="preserve">Cette analyse relie le buffer de confinement (16,2 m, §4.2.2) à la géométrie réelle du site. Cette analyse est un DÉPISTAGE LATÉRAL PRÉLIMINAIRE : la disponibilité d'au moins 16,2 m sur un côté constitue seulement une CONDITION NÉCESSAIRE de placement latéral. Elle ne suffit PAS à démontrer le confinement global (toutes les limites horizontales, extrémités, volume vertical, décollage/atterrissage, corridor d'urgence, RTH, personnes, périmètre de l'événement, excursions mesurées).</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LATÉRAL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20 m disponibles → marge +3,8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25 m disponibles → marge +8,8 m → LATÉRAL POSSIBLE — analyse complète requise</w:t>
      </w:r>
    </w:p>
    <w:p>
      <w:pPr>
        <w:pStyle w:val="ListParagraph"/>
        <w:numPr>
          <w:ilvl w:val="0"/>
          <w:numId w:val="1"/>
        </w:numPr>
        <w:spacing w:after="40" w:line="264"/>
      </w:pPr>
      <w:r>
        <w:rPr>
          <w:rFonts w:ascii="Calibri" w:cs="Calibri" w:eastAsia="Calibri" w:hAnsi="Calibri"/>
          <w:sz w:val="21"/>
          <w:szCs w:val="21"/>
        </w:rPr>
        <w:t xml:space="preserve">30 m disponibles → marge +13,8 m → LATÉRAL POSSIBLE — analyse complète requise</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DÉPISTAGE (préliminaire) : un côté offrant ≥ 16,2 m d'espace dégagé rend le placement latéral POSSIBLE ; le volume opérationnel peut alors y être étudié (voir plan §4.2.3). Le confinement global ne peut être déclaré satisfait qu'après validation de toutes les limites horizontales, des extrémités, du volume vertical, du décollage et de l'atterrissage, du corridor d'urgence, du RTH, des personnes, du périmètre de l'événement et des excursions mesurées.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L'UN DES ÉLÉMENTS DE SITE ENCORE REQUIS (avec le plan géoréférencé, les extrémités, les obstacles, le corridor RTH, le volume vertical et le buffer mesuré) — elle ne clôt PAS à elle seule la géométrie. Le verrouillage final du buffer reste conditionné aux mesures en vol (§4.2.2).</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§5.2›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OPÉRATIONNEL 25 km/h (moyen), rafales ≤ ‹à fixer›, écart moyen/rafales ≤ ‹à fixer› ; limite d'ESSAI distincte 28 km/h (§essais). Le 25 km/h opérationnel est plus conservateur que le 28 d'essai. Vent (rafales incluses ; sous la limite du Mini 4 Pro, avec marge) ; VISIBILITÉ : ciel dégagé garantissant la VLOS en permanence (pas de brouillard/pluie) ; BATTERIE : le seuil de DÉPART doit découler de la durée prévue (~20 min/vol), de la consommation mesurée, de la température, du vent, de la santé de la batterie et d'une réserve d'atterrissage — À CALCULER (le 40 % n'est PAS un minimum de décollage défendable ; 40 % = seuil d'INTERRUPTION en vol via l'arbitre)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(cas le plus contraignant)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5.2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FlightControllerKey.KeyAircraftLocation3D (MSDK v5) — lat/lon WGS-84 + altitude relative au décollage ; lecture par poller applicatif</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 Hz (poller applicatif, 200 ms)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2 000 ms (RTK_AGE_MAX_S) — au-delà : blocage émission</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 (bloquant avant émission réelle)</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FlightControllerKey.KeyAltitude (MSDK v5) — altitude RELATIVE au point de décollage (PAS l'AGL terrain ; écart à caractériser en E-03)</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poussée par le SDK — fréquence effective À MESURER</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à fixer (proposé 2 000 ms) — À CONFIRMER</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USAGE : CADRAGE uniquement dans la baseline altitude (suivi YOLO image) → AUCUN crédit de confinement ; SANS OBJET pour le chemin de sécurité de la baseline. Contrat complet requis SEULEMENT si un usage sécurité est introduit (RTK externe pressenti : module AndroidRtkV4 présent au code)</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(bloquant)</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§4.2.4), avec vue directe sur l'ensemble du volume opérationnel (§4.2.3). C'est cette position, combinée au géorepérage logiciel et au buffer, qui contribue au respect de la VLOS et du plan opérationnel — elle ne démontre PAS à elle seule le confinement du drone (confinement : §4.2, à démontrer). La position exacte est confirmée au repérage du site ; les seuils de confinement (buffer ≥ 16,2 m à vMax 2 m/s) sont fixés au §4.2.2.</w:t>
      </w:r>
    </w:p>
    <w:p>
      <w:pPr>
        <w:pStyle w:val="Heading2"/>
        <w:spacing w:after="100" w:before="200"/>
      </w:pPr>
      <w:r>
        <w:rPr>
          <w:rFonts w:ascii="Calibri" w:cs="Calibri" w:eastAsia="Calibri" w:hAnsi="Calibri"/>
          <w:b/>
          <w:bCs/>
          <w:color w:val="1F3864"/>
        </w:rPr>
        <w:t xml:space="preserve">5.3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Si masse opérationnelle &lt; 250 g (à confirmer par pesée) : SANS OBJET pour cette raison. Si ≥ 250 g : déterminer les déclarations applicables selon la distance réelle et le modèle — la distance ≥ 30 m n'est PAS encore démontrée et ne peut fonder l'exemption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survol ou proximité &lt;5 m — notions distinctes)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‹NOM de la personne pilote à inscrire›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§5.2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§5.2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§5.2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 batterie NON gérable par failsafe : barrières = fixation mécanique + santé/rotation batteries + vérif pré-vol ; gravité 5 en revue spéciale → résiduel à démontrer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§4.2.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(§6.4) et les dangers MOYENS en mini-fiches (§6.5).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6.4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(§9.3.5).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 (buffer). État : voir VALEUR MAÎTRESSE CONF-BUFFER-001 (§4.2.2 — enveloppe provisoire 16,2 m à 2 m/s, non démontrée, susceptible d'AUGMENTER ou de diminuer après mesures)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(cas le plus contraignant).</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6.5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PRÉVENTIVES : verrouillage mécanique de la batterie, inspection des contacts, état de santé, rotation, historique des cycles, seuil de tension, température, check-list pré-vol. BARRIÈRE DE CONSÉQUENCE : volume de vol et zone au sol réduisant l'exposition en cas de chute non contrôlée. AUCUN crédit failsafe n'est accordé pour une perte COMPLÈTE d'alimentation (un contrôleur sans alimentation ne peut exécuter ni RTH ni atterrissage contrôlé). Décision : le résiduel (gravité 5) N'EST PAS déclaré acceptable avant la revue spéciale et les preuves de maintenance — À JOINDRE (bloquant pour ce danger).</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717 cas de test automatisés (JVM ; l'annexe Couverture des tests décrit la suite au moment de sa rédaction — décompte à jour au manifeste §7.1), détaillés dans l'annexe « Couverture des tests logiciels » (document séparé, 2026-07-20). Les composants de sécurité critiques y figurent : Emission2DGuard (26 cas), FlightCommandArbiter (29), CommandeWatchdog (13), WatchdogIndependant (16),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(Emission2DGuardTest, 26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UNIQUE ACQUISE v54 (commit bc66b47) : migration terminée (Phase3Activity + CommandeWatchdog, 8 seuils), garde anti-réintroduction (5 tests source), CONFIG_ID journalisé à l'armement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 validé au sol ; sens physique en vol à confirmer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Watchdog : crédit SCINDÉ (v51) en deux modes de défaillance distincts — (a) retard/ralentissement du cycle, fil encore actif : 60 → 30 (watchdog de cycle implémenté et testé) ; (b) GEL TOTAL du fil d'émission : 60 → 30 en CRÉDIT LOGIQUE depuis v53 (WatchdogIndependant sur thread B, 16 tests dont fil réellement gelé) ; le crédit OPÉRATIONNEL plein reste conditionné à la validation sur appareil (E-03 : thermique, threads Android, effet réel de la sortie Virtual Stick).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(26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§9.3.5) ; E-09 (perte RC, §9.3.2) ; tests logiciels (Emission2DGuardTest 26, FlightCommandArbiterTest 29, CommandeWatchdogTest 13, WatchdogIndependantTest 16).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Manifeste des preuves logicielles (exécution réelle)</w:t>
      </w:r>
    </w:p>
    <w:p>
      <w:pPr>
        <w:spacing w:after="100" w:line="276"/>
      </w:pPr>
      <w:r>
        <w:rPr>
          <w:rFonts w:ascii="Calibri" w:cs="Calibri" w:eastAsia="Calibri" w:hAnsi="Calibri"/>
          <w:sz w:val="21"/>
          <w:szCs w:val="21"/>
        </w:rPr>
        <w:t xml:space="preserve">Exécution Gradle UNIQUE (tâche testDebugUnitTest, 73 fichiers de rapport JUnit XML dans app/build/test-results/testDebugUnitTest/) du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(toutes suites, 5 packages)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73</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717</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15,5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spacing w:before="120" w:after="120"/>
      </w:pPr>
      <w:r>
        <w:rPr>
          <w:rFonts w:ascii="Calibri" w:cs="Calibri" w:eastAsia="Calibri" w:hAnsi="Calibri"/>
          <w:sz w:val="21"/>
          <w:szCs w:val="21"/>
        </w:rPr>
        <w:t xml:space="preserve">Manifeste des suites (décompte RÉEL par paquet, extrait des 73 fichiers JUnit XML — chaque test compté une seule fois)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w="0" w:type="auto"/>
          </w:tcPr>
          <w:p>
            <w:pPr>
              <w:spacing w:after="40"/>
            </w:pPr>
            <w:r>
              <w:rPr>
                <w:rFonts w:ascii="Calibri" w:cs="Calibri" w:eastAsia="Calibri" w:hAnsi="Calibri"/>
                <w:b/>
                <w:bCs/>
                <w:sz w:val="19"/>
                <w:szCs w:val="19"/>
              </w:rPr>
              <w:t xml:space="preserve">Suite (paquet)</w:t>
            </w:r>
          </w:p>
        </w:tc>
        <w:tc>
          <w:tcPr>
            <w:tcW w:w="0" w:type="auto"/>
          </w:tcPr>
          <w:p>
            <w:pPr>
              <w:spacing w:after="40"/>
            </w:pPr>
            <w:r>
              <w:rPr>
                <w:rFonts w:ascii="Calibri" w:cs="Calibri" w:eastAsia="Calibri" w:hAnsi="Calibri"/>
                <w:b/>
                <w:bCs/>
                <w:sz w:val="19"/>
                <w:szCs w:val="19"/>
              </w:rPr>
              <w:t xml:space="preserve">Classes</w:t>
            </w:r>
          </w:p>
        </w:tc>
        <w:tc>
          <w:tcPr>
            <w:tcW w:w="0" w:type="auto"/>
          </w:tcPr>
          <w:p>
            <w:pPr>
              <w:spacing w:after="40"/>
            </w:pPr>
            <w:r>
              <w:rPr>
                <w:rFonts w:ascii="Calibri" w:cs="Calibri" w:eastAsia="Calibri" w:hAnsi="Calibri"/>
                <w:b/>
                <w:bCs/>
                <w:sz w:val="19"/>
                <w:szCs w:val="19"/>
              </w:rPr>
              <w:t xml:space="preserve">Tests</w:t>
            </w:r>
          </w:p>
        </w:tc>
        <w:tc>
          <w:tcPr>
            <w:tcW w:w="0" w:type="auto"/>
          </w:tcPr>
          <w:p>
            <w:pPr>
              <w:spacing w:after="40"/>
            </w:pPr>
            <w:r>
              <w:rPr>
                <w:rFonts w:ascii="Calibri" w:cs="Calibri" w:eastAsia="Calibri" w:hAnsi="Calibri"/>
                <w:b/>
                <w:bCs/>
                <w:sz w:val="19"/>
                <w:szCs w:val="19"/>
              </w:rPr>
              <w:t xml:space="preserve">Échecs</w:t>
            </w:r>
          </w:p>
        </w:tc>
        <w:tc>
          <w:tcPr>
            <w:tcW w:w="0" w:type="auto"/>
          </w:tcPr>
          <w:p>
            <w:pPr>
              <w:spacing w:after="40"/>
            </w:pPr>
            <w:r>
              <w:rPr>
                <w:rFonts w:ascii="Calibri" w:cs="Calibri" w:eastAsia="Calibri" w:hAnsi="Calibri"/>
                <w:b/>
                <w:bCs/>
                <w:sz w:val="19"/>
                <w:szCs w:val="19"/>
              </w:rPr>
              <w:t xml:space="preserve">Environnement</w:t>
            </w:r>
          </w:p>
        </w:tc>
      </w:tr>
      <w:tr>
        <w:tc>
          <w:tcPr>
            <w:tcW w:w="0" w:type="auto"/>
          </w:tcPr>
          <w:p>
            <w:pPr>
              <w:spacing w:after="40"/>
            </w:pPr>
            <w:r>
              <w:rPr>
                <w:rFonts w:ascii="Calibri" w:cs="Calibri" w:eastAsia="Calibri" w:hAnsi="Calibri"/>
                <w:sz w:val="19"/>
                <w:szCs w:val="19"/>
              </w:rPr>
              <w:t xml:space="preserve">ca.cineflight.stage.sport.soccer</w:t>
            </w:r>
          </w:p>
        </w:tc>
        <w:tc>
          <w:tcPr>
            <w:tcW w:w="0" w:type="auto"/>
          </w:tcPr>
          <w:p>
            <w:pPr>
              <w:spacing w:after="40"/>
            </w:pPr>
            <w:r>
              <w:rPr>
                <w:rFonts w:ascii="Calibri" w:cs="Calibri" w:eastAsia="Calibri" w:hAnsi="Calibri"/>
                <w:sz w:val="19"/>
                <w:szCs w:val="19"/>
              </w:rPr>
              <w:t xml:space="preserve">35</w:t>
            </w:r>
          </w:p>
        </w:tc>
        <w:tc>
          <w:tcPr>
            <w:tcW w:w="0" w:type="auto"/>
          </w:tcPr>
          <w:p>
            <w:pPr>
              <w:spacing w:after="40"/>
            </w:pPr>
            <w:r>
              <w:rPr>
                <w:rFonts w:ascii="Calibri" w:cs="Calibri" w:eastAsia="Calibri" w:hAnsi="Calibri"/>
                <w:sz w:val="19"/>
                <w:szCs w:val="19"/>
              </w:rPr>
              <w:t xml:space="preserve">400</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(1 classe Robolectric : SoccerRailProfileParserTest)</w:t>
            </w:r>
          </w:p>
        </w:tc>
      </w:tr>
      <w:tr>
        <w:tc>
          <w:tcPr>
            <w:tcW w:w="0" w:type="auto"/>
          </w:tcPr>
          <w:p>
            <w:pPr>
              <w:spacing w:after="40"/>
            </w:pPr>
            <w:r>
              <w:rPr>
                <w:rFonts w:ascii="Calibri" w:cs="Calibri" w:eastAsia="Calibri" w:hAnsi="Calibri"/>
                <w:sz w:val="19"/>
                <w:szCs w:val="19"/>
              </w:rPr>
              <w:t xml:space="preserve">ca.cineflight.stage.control</w:t>
            </w:r>
          </w:p>
        </w:tc>
        <w:tc>
          <w:tcPr>
            <w:tcW w:w="0" w:type="auto"/>
          </w:tcPr>
          <w:p>
            <w:pPr>
              <w:spacing w:after="40"/>
            </w:pPr>
            <w:r>
              <w:rPr>
                <w:rFonts w:ascii="Calibri" w:cs="Calibri" w:eastAsia="Calibri" w:hAnsi="Calibri"/>
                <w:sz w:val="19"/>
                <w:szCs w:val="19"/>
              </w:rPr>
              <w:t xml:space="preserve">32</w:t>
            </w:r>
          </w:p>
        </w:tc>
        <w:tc>
          <w:tcPr>
            <w:tcW w:w="0" w:type="auto"/>
          </w:tcPr>
          <w:p>
            <w:pPr>
              <w:spacing w:after="40"/>
            </w:pPr>
            <w:r>
              <w:rPr>
                <w:rFonts w:ascii="Calibri" w:cs="Calibri" w:eastAsia="Calibri" w:hAnsi="Calibri"/>
                <w:sz w:val="19"/>
                <w:szCs w:val="19"/>
              </w:rPr>
              <w:t xml:space="preserve">266</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(6 classes Robolectric : PiloteDrone*)</w:t>
            </w:r>
          </w:p>
        </w:tc>
      </w:tr>
      <w:tr>
        <w:tc>
          <w:tcPr>
            <w:tcW w:w="0" w:type="auto"/>
          </w:tcPr>
          <w:p>
            <w:pPr>
              <w:spacing w:after="40"/>
            </w:pPr>
            <w:r>
              <w:rPr>
                <w:rFonts w:ascii="Calibri" w:cs="Calibri" w:eastAsia="Calibri" w:hAnsi="Calibri"/>
                <w:sz w:val="19"/>
                <w:szCs w:val="19"/>
              </w:rPr>
              <w:t xml:space="preserve">ca.cineflight.stage.sentinelle</w:t>
            </w:r>
          </w:p>
        </w:tc>
        <w:tc>
          <w:tcPr>
            <w:tcW w:w="0" w:type="auto"/>
          </w:tcPr>
          <w:p>
            <w:pPr>
              <w:spacing w:after="40"/>
            </w:pPr>
            <w:r>
              <w:rPr>
                <w:rFonts w:ascii="Calibri" w:cs="Calibri" w:eastAsia="Calibri" w:hAnsi="Calibri"/>
                <w:sz w:val="19"/>
                <w:szCs w:val="19"/>
              </w:rPr>
              <w:t xml:space="preserve">4</w:t>
            </w:r>
          </w:p>
        </w:tc>
        <w:tc>
          <w:tcPr>
            <w:tcW w:w="0" w:type="auto"/>
          </w:tcPr>
          <w:p>
            <w:pPr>
              <w:spacing w:after="40"/>
            </w:pPr>
            <w:r>
              <w:rPr>
                <w:rFonts w:ascii="Calibri" w:cs="Calibri" w:eastAsia="Calibri" w:hAnsi="Calibri"/>
                <w:sz w:val="19"/>
                <w:szCs w:val="19"/>
              </w:rPr>
              <w:t xml:space="preserve">34</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ca.cineflight.stage.cine</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8</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sz w:val="19"/>
                <w:szCs w:val="19"/>
              </w:rPr>
              <w:t xml:space="preserve">ca.cineflight.stage.streaming</w:t>
            </w:r>
          </w:p>
        </w:tc>
        <w:tc>
          <w:tcPr>
            <w:tcW w:w="0" w:type="auto"/>
          </w:tcPr>
          <w:p>
            <w:pPr>
              <w:spacing w:after="40"/>
            </w:pPr>
            <w:r>
              <w:rPr>
                <w:rFonts w:ascii="Calibri" w:cs="Calibri" w:eastAsia="Calibri" w:hAnsi="Calibri"/>
                <w:sz w:val="19"/>
                <w:szCs w:val="19"/>
              </w:rPr>
              <w:t xml:space="preserve">1</w:t>
            </w:r>
          </w:p>
        </w:tc>
        <w:tc>
          <w:tcPr>
            <w:tcW w:w="0" w:type="auto"/>
          </w:tcPr>
          <w:p>
            <w:pPr>
              <w:spacing w:after="40"/>
            </w:pPr>
            <w:r>
              <w:rPr>
                <w:rFonts w:ascii="Calibri" w:cs="Calibri" w:eastAsia="Calibri" w:hAnsi="Calibri"/>
                <w:sz w:val="19"/>
                <w:szCs w:val="19"/>
              </w:rPr>
              <w:t xml:space="preserve">9</w:t>
            </w:r>
          </w:p>
        </w:tc>
        <w:tc>
          <w:tcPr>
            <w:tcW w:w="0" w:type="auto"/>
          </w:tcPr>
          <w:p>
            <w:pPr>
              <w:spacing w:after="40"/>
            </w:pPr>
            <w:r>
              <w:rPr>
                <w:rFonts w:ascii="Calibri" w:cs="Calibri" w:eastAsia="Calibri" w:hAnsi="Calibri"/>
                <w:sz w:val="19"/>
                <w:szCs w:val="19"/>
              </w:rPr>
              <w:t xml:space="preserve">0</w:t>
            </w:r>
          </w:p>
        </w:tc>
        <w:tc>
          <w:tcPr>
            <w:tcW w:w="0" w:type="auto"/>
          </w:tcPr>
          <w:p>
            <w:pPr>
              <w:spacing w:after="40"/>
            </w:pPr>
            <w:r>
              <w:rPr>
                <w:rFonts w:ascii="Calibri" w:cs="Calibri" w:eastAsia="Calibri" w:hAnsi="Calibri"/>
                <w:sz w:val="19"/>
                <w:szCs w:val="19"/>
              </w:rPr>
              <w:t xml:space="preserve">JVM pure</w:t>
            </w:r>
          </w:p>
        </w:tc>
      </w:tr>
      <w:tr>
        <w:tc>
          <w:tcPr>
            <w:tcW w:w="0" w:type="auto"/>
          </w:tcPr>
          <w:p>
            <w:pPr>
              <w:spacing w:after="40"/>
            </w:pPr>
            <w:r>
              <w:rPr>
                <w:rFonts w:ascii="Calibri" w:cs="Calibri" w:eastAsia="Calibri" w:hAnsi="Calibri"/>
                <w:b/>
                <w:bCs/>
                <w:sz w:val="19"/>
                <w:szCs w:val="19"/>
              </w:rPr>
              <w:t xml:space="preserve">TOTAL (sans doublon)</w:t>
            </w:r>
          </w:p>
        </w:tc>
        <w:tc>
          <w:tcPr>
            <w:tcW w:w="0" w:type="auto"/>
          </w:tcPr>
          <w:p>
            <w:pPr>
              <w:spacing w:after="40"/>
            </w:pPr>
            <w:r>
              <w:rPr>
                <w:rFonts w:ascii="Calibri" w:cs="Calibri" w:eastAsia="Calibri" w:hAnsi="Calibri"/>
                <w:b/>
                <w:bCs/>
                <w:sz w:val="19"/>
                <w:szCs w:val="19"/>
              </w:rPr>
              <w:t xml:space="preserve">73</w:t>
            </w:r>
          </w:p>
        </w:tc>
        <w:tc>
          <w:tcPr>
            <w:tcW w:w="0" w:type="auto"/>
          </w:tcPr>
          <w:p>
            <w:pPr>
              <w:spacing w:after="40"/>
            </w:pPr>
            <w:r>
              <w:rPr>
                <w:rFonts w:ascii="Calibri" w:cs="Calibri" w:eastAsia="Calibri" w:hAnsi="Calibri"/>
                <w:b/>
                <w:bCs/>
                <w:sz w:val="19"/>
                <w:szCs w:val="19"/>
              </w:rPr>
              <w:t xml:space="preserve">717</w:t>
            </w:r>
          </w:p>
        </w:tc>
        <w:tc>
          <w:tcPr>
            <w:tcW w:w="0" w:type="auto"/>
          </w:tcPr>
          <w:p>
            <w:pPr>
              <w:spacing w:after="40"/>
            </w:pPr>
            <w:r>
              <w:rPr>
                <w:rFonts w:ascii="Calibri" w:cs="Calibri" w:eastAsia="Calibri" w:hAnsi="Calibri"/>
                <w:b/>
                <w:bCs/>
                <w:sz w:val="19"/>
                <w:szCs w:val="19"/>
              </w:rPr>
              <w:t xml:space="preserve">0</w:t>
            </w:r>
          </w:p>
        </w:tc>
        <w:tc>
          <w:tcPr>
            <w:tcW w:w="0" w:type="auto"/>
          </w:tcPr>
          <w:p>
            <w:pPr>
              <w:spacing w:after="40"/>
            </w:pPr>
            <w:r>
              <w:rPr>
                <w:rFonts w:ascii="Calibri" w:cs="Calibri" w:eastAsia="Calibri" w:hAnsi="Calibri"/>
                <w:b/>
                <w:bCs/>
                <w:sz w:val="19"/>
                <w:szCs w:val="19"/>
              </w:rPr>
              <w:t xml:space="preserve">Exécution unique testDebugUnitTest, 2026-07-20 (v54 : gate retiré + watchdog indépendant + source unique), ≈ 15,5 s</w:t>
            </w:r>
          </w:p>
        </w:tc>
      </w:tr>
    </w:tbl>
    <w:p>
      <w:pPr>
        <w:spacing w:before="120" w:after="120"/>
      </w:pPr>
      <w:r>
        <w:rPr>
          <w:rFonts w:ascii="Calibri" w:cs="Calibri" w:eastAsia="Calibri" w:hAnsi="Calibri"/>
          <w:sz w:val="21"/>
          <w:szCs w:val="21"/>
        </w:rPr>
        <w:t xml:space="preserve">LECTURE DU MANIFESTE : le total de 717 est la somme des 73 fichiers JUnit XML d'une exécution unique (aucun doublon). L'ancien total de 278 (26 classes) provient d'un rapport HISTORIQUE limité au package soccer, produit AVANT l'ajout des suites récentes ; il est SUPERSEDED et conservé en ANNEXE (« Rapport JUnit historique ») uniquement pour traçabilité — les 411 tests supplémentaires sont couverts par les mêmes rapports XML de l'exécution du 2026-07-20 (paquets control, sentinelle, cine, streaming et nouvelles suites soccer). Emission2DGuardTest compte AUJOURD'HUI 26 cas directs (13 historiques + 12 ajoutés + 1 preuve d'indépendance du gate en v51 ; aucun double comptage indirect). Les rapports BRUTS sont JOINTS au dossier : archive « Preuves_Tests_Logiciels_2026-07-20.zip » (73 rapports JUnit XML + rapport HTML Gradle + rapport JaCoCo HTML/XML). La couverture JaCoCo est MESURÉE SUR CE MÊME COMMIT (bc66b47), à partir de cette même suite : package soccer 86,7 % instructions / 72,4 % branches (jacocoSoccerReport) ; PÉRIMÈTRE SÉCURITÉ COMPLET soccer+control 40,7 % / 36,2 % (jacocoSecurityReport ; control seul : 31,3 % / 28,8 % — voir exigence ci-dessous).</w:t>
      </w:r>
    </w:p>
    <w:p>
      <w:pPr>
        <w:spacing w:before="120" w:after="120"/>
      </w:pPr>
      <w:r>
        <w:rPr>
          <w:rFonts w:ascii="Calibri" w:cs="Calibri" w:eastAsia="Calibri" w:hAnsi="Calibri"/>
          <w:sz w:val="21"/>
          <w:szCs w:val="21"/>
        </w:rPr>
        <w:t xml:space="preserve">LIMITES ET EXIGENCES AVANT OPÉRATION (v54) : (variante) la suite s'exécute en variante DEBUG (testDebugUnitTest) — exécuter aussi les tests de la variante RELEASE ou fournir une preuve d'équivalence ; tester l'APK RELEASE SIGNÉE (hash SHA-256 consigné) ; correspondance commit ↔ APK ↔ preuves (commits consignés au tableau de contrôle). (portée — MESURÉ v54, jacocoSecurityReport) : périmètre sécurité complet soccer+control = 40,7 % instructions / 36,2 % branches ; control seul = 31,3 % / 28,8 % — INSUFFISANT pour créditer la chaîne complète. Une partie du package control est HORS du chemin de sécurité soccer (code mission/route hérité), mais l'EXIGENCE reste OUVERTE avant dépôt — PLAN DE COUVERTURE CIBLÉ (ne pas gonfler le chiffre brut avec des tests sans intérêt) : (1) classifier chaque classe de control [utilisée par la baseline altitude → couverture OBLIGATOIRE ; accessible mais désactivée → exclusion justifiée ; autre fonctionnalité → hors périmètre documenté ; code hérité mort → retirer ; adaptateur Android/MSDK non testable en JVM → test instrumenté ou banc] ; (2) OBJECTIF : branches ≥ 70 % pour les classes de sécurité directement utilisées (adaptateur d'émission Virtual Stick, mapping axes/modes, activation/désactivation VS, détection RC, SafetySnapshot, watchdogs, arrêt d'urgence, SafetyLimits, lecture des clés DJI, journalisation critique, lifecycle, erreurs de callbacks), chaque méthode critique testée, justification écrite pour chaque exclusion.</w:t>
      </w:r>
    </w:p>
    <w:p>
      <w:pPr>
        <w:spacing w:before="120" w:after="120"/>
      </w:pPr>
      <w:r>
        <w:rPr>
          <w:rFonts w:ascii="Calibri" w:cs="Calibri" w:eastAsia="Calibri" w:hAnsi="Calibri"/>
          <w:sz w:val="21"/>
          <w:szCs w:val="21"/>
        </w:rPr>
        <w:t xml:space="preserve">INDEX DES PREUVES JOINTES (fichier SÉPARÉ, non incorporé au présent document) : Preuves_Tests_Logiciels_2026-07-20.zip — contenu : 73 rapports JUnit XML — 73 classes de test = 73 fichiers XML = 73 suites (aucun écart à expliquer) — (exécution v54 du 2026-07-20 : 717 cas, 0 échec, 0 ignoré, ≈ 15,5 s) + rapport HTML Gradle + rapports JaCoCo HTML/XML (jacocoSoccerReport + jacocoSecurityReport, mesurés sur bc66b47) ; taille : 1587061 octets ; SHA-256 : bba1331dfd6dd097226b640daf7eed982c35fd70b326d83ff98af8cb12698fa2 ; commits source : 31c7df7 (retrait gate) + acf6312 (watchdog indépendant) + bc66b47 (source unique + JaCoCo sécurité, v54) ; type : preuves de tests unitaires JVM ; exigences couvertes : REQ-SAFE-001, REQ-CTRL-001, REQ-TIME-001, NC-T2-002/003/005 (partiel).</w:t>
      </w:r>
    </w:p>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DEUX preuves exhaustives (512 combinaisons chacune) : chemin HORIZONTAL — un seul cas (9 conditions toutes vraies) autorise la commande soccer ; baseline ALTITUDE — exactement 2 cas autorisent (8 conditions applicables vraies, bit gate 0 ou 1), la bascule du bit gate étant prouvée SANS EFFET sur chacune des 512 combinaisons. Le pilote gagne sur toutes les combinaisons ; l'urgence gagne sur tout sauf le pilote (vérifié dans les deux modes).</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7.3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Valeurs MESURÉES le 2026-07-20 sur le commit v54 (bc66b47), suite de 717 tests — rapports jacocoSoccerReport ET jacocoSecurityReport joints à l'archive de preuves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86,7 % (mesuré v54)</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72,4 % (mesuré v54)</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88,0 % (mesuré v54)</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84,5 % (mesuré v54)</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(après ajout de 51 tests le 2026-07-20) : instructions 86,7 %, lignes 88,0 %, branches 72,4 %, méthodes 84,5 % (v54, commit bc66b47). PÉRIMÈTRE SÉCURITÉ COMPLET (jacocoSecurityReport, soccer+control) : instructions 40,7 %, branches 36,2 % — control seul 31,3 % / 28,8 %, extension exigée avant dépôt, classes 86,4 %. Total 717 cas de test automatisés (couverture JaCoCo mesurée sur le commit v54 : soccer 86,7 %/72,4 % — voir le manifeste §7.1). Note : les ~700 instructions du parser SoccerRailProfile sont testées via Robolectric mais non comptées par JaCoCo dans cette configuration (limite de l'outil, non un manque de tests).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7.4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de DÉVELOPPEMENT signée automatiquement : oui. APK RELEASE opérationnelle signée : NON — À PRODUIRE ; empreinte SHA-256 release à consigner ; canal d'installation contrôlé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 baseline source v54 (31c7df7 + acf6312 + bc66b47) — le commit final RELEASE et le hash de l'APK réellement installée deviendront la SEULE référence opérationnelle (à produire) ;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spacing w:after="120"/>
      </w:pPr>
      <w:r>
        <w:rPr>
          <w:rFonts w:ascii="Calibri" w:cs="Calibri" w:eastAsia="Calibri" w:hAnsi="Calibri"/>
          <w:sz w:val="21"/>
          <w:szCs w:val="21"/>
        </w:rPr>
        <w:t xml:space="preserve">E-03 — CARACTÉRISATION VIRTUAL STICK AU BANC (essai PRÉALABLE, à exécuter AVANT tout essai en vol). E-03 est un essai de banc/système, pas une simple mesure à ajouter lors d'un vol complet. VOLET E-03-FS (CARACTÉRISATION DU FAILSAFE DJI — rattaché EXPLICITEMENT à E-03, avec E-09 en complément) : perte RC ; perte de la station ; cessation Virtual Stick ; dernière commande verticale positive ; comportement configuré (RTH / stationnaire / atterrissage) ; délai de réaction ; trajectoire réelle ; zone de récupération. E-03 ne peut PAS être déclaré réussi sur le seul watchdog si le failsafe natif n'est pas caractérisé (REQ-FS-001). Il doit caractériser au minimum : l'arrêt volontaire des appels Virtual Stick ; l'envoi répété de zéro ; la sortie explicite du mode Virtual Stick ; le gel du fil d'émission ; le plantage de l'application ; la fermeture forcée de l'application ; la perte de connexion MSDK ; la déconnexion de la radiocommande ; la dernière commande non nulle ; le délai jusqu'à la réaction du contrôleur de vol.</w:t>
      </w:r>
    </w:p>
    <w:p>
      <w:pPr>
        <w:spacing w:after="120"/>
      </w:pPr>
      <w:r>
        <w:rPr>
          <w:rFonts w:ascii="Calibri" w:cs="Calibri" w:eastAsia="Calibri" w:hAnsi="Calibri"/>
          <w:sz w:val="21"/>
          <w:szCs w:val="21"/>
        </w:rPr>
        <w:t xml:space="preserve">Les résultats E-03 ne valent que pour une CONFIGURATION FIGÉE, à consigner AVANT l'essai : modèle EXACT de radiocommande (RC-N2 pressenti — À CONFIRMER avant E-03) + numéro de série + firmware RC ; type de câble et port utilisés ; téléphone (modèle + numéro de série) ; version Android ; application + hash APK ; version MSDK ; drone (numéro de série) + firmware drone. Tout changement de configuration invalide les résultats et impose une re-caractérisation. CLASSIFICATION DES ESSAIS AU SOL DÉJÀ RÉALISÉS (E-01a/b, E-06, E-07, E-08, E-09) — environnement présent pendant l'essai : APK réelle OUI ; téléphone réel OUI ; radiocommande réelle OUI ; drone réel OUI ; MSDK réel OUI ; moteurs NON (coupés) ; hélices RETIRÉES ; preuve = commande reçue par le contrôleur de vol et journalisée (logs envoyerVitesses) ; mouvement physique : NON. Ces essais valident la LOGIQUE et la LIAISON, pas le comportement matériel final (essais moteurs et en vol distincts, à venir).</w:t>
      </w:r>
    </w:p>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P95 ≤ 160 ms ; P99 et MAX à borner par le buffer §4.2</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cible proposée ‹à confirmer›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du site : corridor d'évacuation précis (direction, altitude, zone d'attente définis PAR SITE en annexe) — ne PAS monter par défaut (une montée peut rapprocher d'un aéronef habité ou prolonger le survol) ; priorité : immobilisation → éloignement → atterrissage selon la configuration.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s'exécuter le failsafe DJI selon la CONFIGURATION UNIQUE vérifiée et inscrite dans la baseline (RTH OU hover — à figer, pas les deux) ; le comportement physique réel doit être démontré par E-03/E-09 avant d'être qualifié (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9.3.5 Arrêt d'urgence général (geste unique)</w:t>
      </w:r>
    </w:p>
    <w:p>
      <w:pPr>
        <w:spacing w:after="80" w:line="276"/>
      </w:pPr>
      <w:r>
        <w:rPr>
          <w:rFonts w:ascii="Calibri" w:cs="Calibri" w:eastAsia="Calibri" w:hAnsi="Calibri"/>
          <w:sz w:val="21"/>
          <w:szCs w:val="21"/>
        </w:rPr>
        <w:t xml:space="preserve">Barrière validée au sol le 2026-07-20 (essai E-08) : la logique applicative écarte la commande automatisée (émission neutralisée côté logiciel) ; l'efficacité et le délai de la reprise physique par le pilote restent à mesurer par E-12.</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 la demande logicielle de sortie du Virtual Stick est exécutée — son effet réel sur le système est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9.3.6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non commandé (comportement physique — hover, cessation ou autre — à démontrer par E-03).</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9.3.7 Batterie faible</w:t>
      </w:r>
    </w:p>
    <w:p>
      <w:pPr>
        <w:spacing w:after="80" w:line="276"/>
      </w:pPr>
      <w:r>
        <w:rPr>
          <w:rFonts w:ascii="Calibri" w:cs="Calibri" w:eastAsia="Calibri" w:hAnsi="Calibri"/>
          <w:sz w:val="21"/>
          <w:szCs w:val="21"/>
        </w:rPr>
        <w:t xml:space="preserve">Danger #16 : le 40 % est un seuil d'INTERRUPTION en vol (arbitre), PAS le minimum de décollage. Le seuil de départ est calculé selon durée prévue, consommation mesurée, température, vent, santé batterie et réserve d'atterrissage.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9.3.8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l'application force la commande automatisée à une valeur neutre / bloque son émission (comportement physique à démontrer par E-03).</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L'application force la commande à une valeur neutre / bloque l'émission dès que la position se périme (comportement physique à démontrer par E-03)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9.3.9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commande une valeur neutre (comportement physique à confirmer), remonte si besoin — seulement dans un corridor prévalidé —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(§9.3.5)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9.3.10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‹NOM de la personne› (CineFlight) (+1 438 367 6652) ; observateur à nommer avant chaque opération (§9.3.10). Corridors et zones décrits sur le plan à l'échelle (§4.2.3),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officiel SFOC-RPAS (numéro/révision à vérifier au téléchargement)</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depuis la page officielle TC « Événement annoncé », remplir et signer — À FAIRE. CONSIGNER à l'annexe administrative : numéro téléchargé ‹...› ; révision ‹...› ; date de téléchargement ‹...› ; SHA-256 ‹...› ; source officielle (URL)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 À CONFIRMER par pesée (batterie + protections + carte + accessoires). Si &lt; 250 g : certificat de pilote de drone SANS OBJET (la masse seule ne l'impose pas). Si ≥ 250 g : certificat approprié requis avant l'opération. Le SFOC événement annoncé reste obligatoire quelle que soit la masse. Contact pilote : +1 438 367 6652 (numéro à re-vérifier avant diffusion)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Si masse opérationnelle &lt; 250 g (à confirmer par pesée) : immatriculation TC SANS OBJET. Si ≥ 250 g : immatriculation requise. Joindre une fiche de pesée datée, signée et photographiée pour la configuration exacte.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de sécurité 922.05/922.06 : ce sont des déclarations du MODÈLE de RPAS (produites par le fabricant/concepteur pour l'usage à proximité ou au-dessus de personnes), non une déclaration remplie par le pilote d'un microdrone. SANS OBJET pour la configuration &lt; 250 g, sauf condition technique imposée par le SFOC. Si masse ≥ 250 g : vérifier l'admissibilité du modèle et les déclarations du fabricant selon la distance réelle aux personnes. La distance de 30 m est conservée comme OBJECTIF INTERNE prudent, non comme exigence 922 universelle.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 : À DÉTERMINER OFFICIELLEMENT au point et aux altitudes de l'opération (secteur YUL/CYHU, héliports — la proximité seule ne l'établit pas juridiquement). AVANT DÉPÔT : analyse d'espace aérien + extrait de carte à joindre. APRÈS DÉLIVRANCE DU SFOC, avant chaque opération : opération NAV Drone (catégorie SFOC), tâches de permission satisfaites, RPAS Operation Summary accepté conservé — bloquant pour le VOL</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L'EXPLOITANT :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55.0,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officiel SFOC-RPAS (révision courante vérifiée au téléchargement) + pièces, à TC.RPASCentre-CentreSATP.TC@tc.gc.ca. Deux délais à ne pas confondre : (1) délai minimal de dépôt = AU MOINS 30 jours AVANT le début de l'opération ; (2) norme de service TC = 30 jours OUVRABLES (événement annoncé standard) ou 60 jours OUVRABLES (complexité moyenne/haute),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figée (SFOC)</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RÉSOLU v51 (retrait PROPRE, pas un false→true) : condition RETIRÉE du chemin baseline altitude (paramètre horizontalMotionRequested=false ; preuve d'indépendance du bit sur 512 combinaisons ; Emission2DGuardTest 26 cas, FlightCommandArbiterTest 29 cas). Reste condition DURE sur le chemin RAIL/horizontal (false, fail-closed). Aucun crédit d'évitement d'obstacles revendiqué</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(v53, crédit LOGIQUE) — deux couches : (1) watchdog de CYCLE (même fil : force throttle 0 sur perte de cycle) ; (2) WatchdogIndependant sur thread B STRICTEMENT INDÉPENDANT (REQ-WDG-001) : détecte le gel TOTAL du fil d'émission et met en sécurité depuis son propre fil (désarme + neutre + sortie VS), 16 tests dont fil réellement gelé. RESTE (E-03, bloquant pour le crédit opérationnel) : validation sur appareil et EFFET physique — l'absence de nouvelle émission ne prouve pas que le drone annule la dernière vitesse Virtual Stick (RPN 75).</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DÉFINIE dans le code : FlightControllerKey.KeyAircraftLocation3D (MSDK v5). RESTENT BLOQUANTS : précision mesurée + seuil, fréquence effective, référentiel d'altitude vérifié, seuil de saut admissible, critères de rejet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MIS À JOUR v51 : la condition obstacleGateAllows a été RETIRÉE du chemin d'émission de la baseline altitude — l'arbitre l'ignore quand horizontalMotionRequested=false, et la preuve exhaustive démontre que la décision est INDÉPENDANTE de ce bit sur les 512 combinaisons (bascule du bit sans effet, combinaison par combinaison). Le champ reste transmis à false et demeure une condition DURE du chemin RAIL/horizontal. L'émission réelle reste désactivée par SOCCER_2D_REAL_ENABLED=false jusqu'à E-03.</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FlightControllerKey.KeyAltitude (MSDK v5), altitude RELATIVE au point de décollage (PAS l'AGL terrain — écart à caractériser en E-03) ; unité = m ; fréquence effective = À MESURER ; âge max = à fixer (proposé 2 000 ms) ; invalide → throttle 0. CONTRAT BLOQUANT avant émission réelle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FlightControllerKey.KeyAircraftLocation3D (MSDK v5 ; lat/lon WGS-84 ; altitude relative au décollage incluse — référentiel exact à vérifier) ; PAS le RTK du sujet ; fréquence demandée 5 Hz (effective À MESURER) ; âge max 2 000 ms (RTK_AGE_MAX_S — à justifier) ; précision À MESURER + seuil de rejet à fixer (bloquant) ; saut admissible : seuil chiffré à fixer ; réaction : blocage documenté ; horloge monotone ; preuve : test TST/POS à créer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600 ms (YOLO_FRAIS_MS, constante du code)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SOURCE UNIQUE des seuils de sécurité, crédit ACQUIS AU NIVEAU LOGICIEL en v54 (migration terminée, voir ci-dessous)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MIGRATION TERMINÉE (v54, commit bc66b47) : les 8 seuils dupliqués consomment désormais SafetyLimits — Phase3Activity (YOLO_CONF_MIN, YOLO_FRAIS_MS, SOCCER_BATT_MIN_PCT, SOCCER_DIST_MAX_M, RTK_AGE_MAX_S, DIST_MAX_M, ALT_MAX_M) et CommandeWatchdog (DEFAUT_TIMEOUT_MS) ; plus AUCUN littéral local. GARDE ANTI-RÉINTRODUCTION : SafetyLimitsSourceGuardTest (5 cas) scanne le code source et échoue si un littéral de seuil réapparaît. TRAÇABILITÉ : CONFIG_ID (empreinte SHA-256 des 17 seuils, 16 hex) journalisé à CHAQUE armement du mode (ligne SAFETYLIMITS config_id=…). PREUVE À CONSERVER EN ANNEXE : CONFIG_ID attendu calculé hors appareil = 0ab788385686e554 (à CONFRONTER à la ligne journalisée au premier armement réel) ; commit bc66b47 ; contenu exact des 17 seuils (tableau ci-dessus) ; résultats SafetyLimitsTest (10 cas) et SafetyLimitsSourceGuardTest (5 cas — fichiers inspectés : Phase3Activity.kt) — tous VERTS dans l'exécution du 2026-07-20. PORTÉE HONNÊTE : les verrous d'essai (SOCCER_MAX_SPEED_MPS=0, SOCCER_2D_MAX_VSPEED_MPS) restent des verrous opérationnels locaux, volontairement distincts des plafonds de conception ; les contrôleurs purs reçoivent leurs bornes par paramètres (aucun littéral dupliqué).</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Toute entrée native invalide — résultat nul, longueur incohérente, coordonnées hors image, confiance non finie ou classe inconnue — produit une liste de détections vide ; onSujet(false) est alors propagé jusqu'au SafetySnapshot, la condition actionFreshAndConfident devient fausse et l'émission est bloquée. Ce comportement est FAIL-CLOSED. Il doit néanmoins être vérifié de bout en bout, de JNI jusqu'au point d'émission. AUDIT FORMEL BLOQUANT (le moteur natif, les conversions YUV, les tableaux retournés et la gestion mémoire font partie du chemin de données de sécurité) — à mener même si le signe et les barrières sont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10ter.4.1 Ce que garantissent les tests de sécurité (explication)</w:t>
      </w:r>
    </w:p>
    <w:p>
      <w:pPr>
        <w:spacing w:after="80" w:line="272"/>
      </w:pPr>
      <w:r>
        <w:rPr>
          <w:rFonts w:ascii="Calibri" w:cs="Calibri" w:eastAsia="Calibri" w:hAnsi="Calibri"/>
          <w:sz w:val="21"/>
          <w:szCs w:val="21"/>
        </w:rPr>
        <w:t xml:space="preserve">Cette section explique, en langage clair, ce que les tests automatisés VÉRIFIENT réellement — pas seulement leur nombre. Chaque groupe de tests protège une partie de la logique de vol contre les défauts. Un test qui passe est une preuve automatique qu'un comportement de sécurité fonctionne comme prévu ; s'il cassait un jour, le défaut serait détecté avant tout vol.</w:t>
      </w:r>
    </w:p>
    <w:p>
      <w:pPr>
        <w:pStyle w:val="Heading3"/>
        <w:spacing w:after="70" w:before="130"/>
      </w:pPr>
      <w:r>
        <w:rPr>
          <w:rFonts w:ascii="Calibri" w:cs="Calibri" w:eastAsia="Calibri" w:hAnsi="Calibri"/>
          <w:b/>
          <w:bCs/>
          <w:color w:val="1F3864"/>
        </w:rPr>
        <w:t xml:space="preserve">Arrêt sûr du mouvement (Soccer2DMotionControllerTest — 10 tests)</w:t>
      </w:r>
    </w:p>
    <w:p>
      <w:pPr>
        <w:spacing w:after="80" w:line="272"/>
      </w:pPr>
      <w:r>
        <w:rPr>
          <w:rFonts w:ascii="Calibri" w:cs="Calibri" w:eastAsia="Calibri" w:hAnsi="Calibri"/>
          <w:sz w:val="21"/>
          <w:szCs w:val="21"/>
        </w:rPr>
        <w:t xml:space="preserve">Le groupe le plus important pour la sécurité logicielle. Il prouve que le CONTRÔLEUR produit une commande neutre ou bornée dans les conditions testées (il ne prouve PAS l'arrêt physique de l'aéronef, à démontrer au banc et en vol). Le contrôleur S'ARRÊTE proprement dans tous les cas dangereux :</w:t>
      </w:r>
    </w:p>
    <w:p>
      <w:pPr>
        <w:pStyle w:val="ListParagraph"/>
        <w:numPr>
          <w:ilvl w:val="0"/>
          <w:numId w:val="1"/>
        </w:numPr>
        <w:spacing w:after="40" w:line="264"/>
      </w:pPr>
      <w:r>
        <w:rPr>
          <w:rFonts w:ascii="Calibri" w:cs="Calibri" w:eastAsia="Calibri" w:hAnsi="Calibri"/>
          <w:sz w:val="21"/>
          <w:szCs w:val="21"/>
        </w:rPr>
        <w:t xml:space="preserve">Détection périmée (données trop vieilles) → arrêt (ACTION_STALE).</w:t>
      </w:r>
    </w:p>
    <w:p>
      <w:pPr>
        <w:pStyle w:val="ListParagraph"/>
        <w:numPr>
          <w:ilvl w:val="0"/>
          <w:numId w:val="1"/>
        </w:numPr>
        <w:spacing w:after="40" w:line="264"/>
      </w:pPr>
      <w:r>
        <w:rPr>
          <w:rFonts w:ascii="Calibri" w:cs="Calibri" w:eastAsia="Calibri" w:hAnsi="Calibri"/>
          <w:sz w:val="21"/>
          <w:szCs w:val="21"/>
        </w:rPr>
        <w:t xml:space="preserve">Confiance de détection trop faible → arrêt (LOW_CONFIDENCE).</w:t>
      </w:r>
    </w:p>
    <w:p>
      <w:pPr>
        <w:pStyle w:val="ListParagraph"/>
        <w:numPr>
          <w:ilvl w:val="0"/>
          <w:numId w:val="1"/>
        </w:numPr>
        <w:spacing w:after="40" w:line="264"/>
      </w:pPr>
      <w:r>
        <w:rPr>
          <w:rFonts w:ascii="Calibri" w:cs="Calibri" w:eastAsia="Calibri" w:hAnsi="Calibri"/>
          <w:sz w:val="21"/>
          <w:szCs w:val="21"/>
        </w:rPr>
        <w:t xml:space="preserve">Cible atteinte → maintien sans micro-tremblements (HOLD_DEADBAND).</w:t>
      </w:r>
    </w:p>
    <w:p>
      <w:pPr>
        <w:pStyle w:val="ListParagraph"/>
        <w:numPr>
          <w:ilvl w:val="0"/>
          <w:numId w:val="1"/>
        </w:numPr>
        <w:spacing w:after="40" w:line="264"/>
      </w:pPr>
      <w:r>
        <w:rPr>
          <w:rFonts w:ascii="Calibri" w:cs="Calibri" w:eastAsia="Calibri" w:hAnsi="Calibri"/>
          <w:sz w:val="21"/>
          <w:szCs w:val="21"/>
        </w:rPr>
        <w:t xml:space="preserve">Valeur numérique corrompue (NaN/∞) → arrêt (fail-safe).</w:t>
      </w:r>
    </w:p>
    <w:p>
      <w:pPr>
        <w:pStyle w:val="ListParagraph"/>
        <w:numPr>
          <w:ilvl w:val="0"/>
          <w:numId w:val="1"/>
        </w:numPr>
        <w:spacing w:after="40" w:line="264"/>
      </w:pPr>
      <w:r>
        <w:rPr>
          <w:rFonts w:ascii="Calibri" w:cs="Calibri" w:eastAsia="Calibri" w:hAnsi="Calibri"/>
          <w:sz w:val="21"/>
          <w:szCs w:val="21"/>
        </w:rPr>
        <w:t xml:space="preserve">La vitesse reste bornée au maximum autorisé, et l'accélération est limitée (aucun à-coup brutal).</w:t>
      </w:r>
    </w:p>
    <w:p>
      <w:pPr>
        <w:spacing w:after="80" w:line="272"/>
      </w:pPr>
      <w:r>
        <w:rPr>
          <w:rFonts w:ascii="Calibri" w:cs="Calibri" w:eastAsia="Calibri" w:hAnsi="Calibri"/>
          <w:sz w:val="21"/>
          <w:szCs w:val="21"/>
        </w:rPr>
        <w:t xml:space="preserve">Lien sécurité : ces tests correspondent aux barrières validées au sol E-06/E-07 (perte vidéo → arrêt). Ils démontrent en logiciel que la commande ne peut pas emballer le drone sur une donnée absente ou fausse.</w:t>
      </w:r>
    </w:p>
    <w:p>
      <w:pPr>
        <w:pStyle w:val="Heading3"/>
        <w:spacing w:after="70" w:before="130"/>
      </w:pPr>
      <w:r>
        <w:rPr>
          <w:rFonts w:ascii="Calibri" w:cs="Calibri" w:eastAsia="Calibri" w:hAnsi="Calibri"/>
          <w:b/>
          <w:bCs/>
          <w:color w:val="1F3864"/>
        </w:rPr>
        <w:t xml:space="preserve">Choix de l'altitude (SoccerAltitudePlannerTest — 12 tests)</w:t>
      </w:r>
    </w:p>
    <w:p>
      <w:pPr>
        <w:spacing w:after="80" w:line="272"/>
      </w:pPr>
      <w:r>
        <w:rPr>
          <w:rFonts w:ascii="Calibri" w:cs="Calibri" w:eastAsia="Calibri" w:hAnsi="Calibri"/>
          <w:sz w:val="21"/>
          <w:szCs w:val="21"/>
        </w:rPr>
        <w:t xml:space="preserve">Prouve que l'altitude visée reste TOUJOURS maîtrisée :</w:t>
      </w:r>
    </w:p>
    <w:p>
      <w:pPr>
        <w:pStyle w:val="ListParagraph"/>
        <w:numPr>
          <w:ilvl w:val="0"/>
          <w:numId w:val="1"/>
        </w:numPr>
        <w:spacing w:after="40" w:line="264"/>
      </w:pPr>
      <w:r>
        <w:rPr>
          <w:rFonts w:ascii="Calibri" w:cs="Calibri" w:eastAsia="Calibri" w:hAnsi="Calibri"/>
          <w:sz w:val="21"/>
          <w:szCs w:val="21"/>
        </w:rPr>
        <w:t xml:space="preserve">L'altitude calculée reste dans la plage autorisée par la phase de jeu — jamais au-dessus du plafond.</w:t>
      </w:r>
    </w:p>
    <w:p>
      <w:pPr>
        <w:pStyle w:val="ListParagraph"/>
        <w:numPr>
          <w:ilvl w:val="0"/>
          <w:numId w:val="1"/>
        </w:numPr>
        <w:spacing w:after="40" w:line="264"/>
      </w:pPr>
      <w:r>
        <w:rPr>
          <w:rFonts w:ascii="Calibri" w:cs="Calibri" w:eastAsia="Calibri" w:hAnsi="Calibri"/>
          <w:sz w:val="21"/>
          <w:szCs w:val="21"/>
        </w:rPr>
        <w:t xml:space="preserve">Des joueurs plus grands à l'écran (drone trop bas) font monter ; plus petits, descendre — de façon bornée.</w:t>
      </w:r>
    </w:p>
    <w:p>
      <w:pPr>
        <w:pStyle w:val="ListParagraph"/>
        <w:numPr>
          <w:ilvl w:val="0"/>
          <w:numId w:val="1"/>
        </w:numPr>
        <w:spacing w:after="40" w:line="264"/>
      </w:pPr>
      <w:r>
        <w:rPr>
          <w:rFonts w:ascii="Calibri" w:cs="Calibri" w:eastAsia="Calibri" w:hAnsi="Calibri"/>
          <w:sz w:val="21"/>
          <w:szCs w:val="21"/>
        </w:rPr>
        <w:t xml:space="preserve">Toute valeur corrompue est neutralisée (pas de saut d'altitude aberrant).</w:t>
      </w:r>
    </w:p>
    <w:p>
      <w:pPr>
        <w:pStyle w:val="ListParagraph"/>
        <w:numPr>
          <w:ilvl w:val="0"/>
          <w:numId w:val="1"/>
        </w:numPr>
        <w:spacing w:after="40" w:line="264"/>
      </w:pPr>
      <w:r>
        <w:rPr>
          <w:rFonts w:ascii="Calibri" w:cs="Calibri" w:eastAsia="Calibri" w:hAnsi="Calibri"/>
          <w:sz w:val="21"/>
          <w:szCs w:val="21"/>
        </w:rPr>
        <w:t xml:space="preserve">Le changement d'altitude est lissé : pas de montée ni descente brutale.</w:t>
      </w:r>
    </w:p>
    <w:p>
      <w:pPr>
        <w:spacing w:after="80" w:line="272"/>
      </w:pPr>
      <w:r>
        <w:rPr>
          <w:rFonts w:ascii="Calibri" w:cs="Calibri" w:eastAsia="Calibri" w:hAnsi="Calibri"/>
          <w:sz w:val="21"/>
          <w:szCs w:val="21"/>
        </w:rPr>
        <w:t xml:space="preserve">Lien sécurité : garantit que l'axe throttle (le seul émis en Essai 1) ne peut pas commander une altitude hors des bornes de sécurité.</w:t>
      </w:r>
    </w:p>
    <w:p>
      <w:pPr>
        <w:pStyle w:val="Heading3"/>
        <w:spacing w:after="70" w:before="130"/>
      </w:pPr>
      <w:r>
        <w:rPr>
          <w:rFonts w:ascii="Calibri" w:cs="Calibri" w:eastAsia="Calibri" w:hAnsi="Calibri"/>
          <w:b/>
          <w:bCs/>
          <w:color w:val="1F3864"/>
        </w:rPr>
        <w:t xml:space="preserve">Orientation caméra/nacelle (SoccerCameraAimTest — 12 tests)</w:t>
      </w:r>
    </w:p>
    <w:p>
      <w:pPr>
        <w:spacing w:after="80" w:line="272"/>
      </w:pPr>
      <w:r>
        <w:rPr>
          <w:rFonts w:ascii="Calibri" w:cs="Calibri" w:eastAsia="Calibri" w:hAnsi="Calibri"/>
          <w:sz w:val="21"/>
          <w:szCs w:val="21"/>
        </w:rPr>
        <w:t xml:space="preserve">Prouve que le suivi de l'action est doux et robuste :</w:t>
      </w:r>
    </w:p>
    <w:p>
      <w:pPr>
        <w:pStyle w:val="ListParagraph"/>
        <w:numPr>
          <w:ilvl w:val="0"/>
          <w:numId w:val="1"/>
        </w:numPr>
        <w:spacing w:after="40" w:line="264"/>
      </w:pPr>
      <w:r>
        <w:rPr>
          <w:rFonts w:ascii="Calibri" w:cs="Calibri" w:eastAsia="Calibri" w:hAnsi="Calibri"/>
          <w:sz w:val="21"/>
          <w:szCs w:val="21"/>
        </w:rPr>
        <w:t xml:space="preserve">Petit écart → seule la nacelle bouge (mouvement doux, pas de rotation du drone).</w:t>
      </w:r>
    </w:p>
    <w:p>
      <w:pPr>
        <w:pStyle w:val="ListParagraph"/>
        <w:numPr>
          <w:ilvl w:val="0"/>
          <w:numId w:val="1"/>
        </w:numPr>
        <w:spacing w:after="40" w:line="264"/>
      </w:pPr>
      <w:r>
        <w:rPr>
          <w:rFonts w:ascii="Calibri" w:cs="Calibri" w:eastAsia="Calibri" w:hAnsi="Calibri"/>
          <w:sz w:val="21"/>
          <w:szCs w:val="21"/>
        </w:rPr>
        <w:t xml:space="preserve">Grand écart → rotation du drone autorisée, mais bornée en vitesse.</w:t>
      </w:r>
    </w:p>
    <w:p>
      <w:pPr>
        <w:pStyle w:val="ListParagraph"/>
        <w:numPr>
          <w:ilvl w:val="0"/>
          <w:numId w:val="1"/>
        </w:numPr>
        <w:spacing w:after="40" w:line="264"/>
      </w:pPr>
      <w:r>
        <w:rPr>
          <w:rFonts w:ascii="Calibri" w:cs="Calibri" w:eastAsia="Calibri" w:hAnsi="Calibri"/>
          <w:sz w:val="21"/>
          <w:szCs w:val="21"/>
        </w:rPr>
        <w:t xml:space="preserve">Règle « lead room » : espace laissé devant la direction du jeu (cadrage cinéma).</w:t>
      </w:r>
    </w:p>
    <w:p>
      <w:pPr>
        <w:pStyle w:val="ListParagraph"/>
        <w:numPr>
          <w:ilvl w:val="0"/>
          <w:numId w:val="1"/>
        </w:numPr>
        <w:spacing w:after="40" w:line="264"/>
      </w:pPr>
      <w:r>
        <w:rPr>
          <w:rFonts w:ascii="Calibri" w:cs="Calibri" w:eastAsia="Calibri" w:hAnsi="Calibri"/>
          <w:sz w:val="21"/>
          <w:szCs w:val="21"/>
        </w:rPr>
        <w:t xml:space="preserve">Valeur corrompue → la caméra reste centrée au lieu de partir n'importe où.</w:t>
      </w:r>
    </w:p>
    <w:p>
      <w:pPr>
        <w:spacing w:after="80" w:line="272"/>
      </w:pPr>
      <w:r>
        <w:rPr>
          <w:rFonts w:ascii="Calibri" w:cs="Calibri" w:eastAsia="Calibri" w:hAnsi="Calibri"/>
          <w:sz w:val="21"/>
          <w:szCs w:val="21"/>
        </w:rPr>
        <w:t xml:space="preserve">Lien sécurité : une caméra qui vise mal peut faire perdre le sujet ; ces tests bornent le mouvement et neutralisent les entrées invalides.</w:t>
      </w:r>
    </w:p>
    <w:p>
      <w:pPr>
        <w:pStyle w:val="Heading3"/>
        <w:spacing w:after="70" w:before="130"/>
      </w:pPr>
      <w:r>
        <w:rPr>
          <w:rFonts w:ascii="Calibri" w:cs="Calibri" w:eastAsia="Calibri" w:hAnsi="Calibri"/>
          <w:b/>
          <w:bCs/>
          <w:color w:val="1F3864"/>
        </w:rPr>
        <w:t xml:space="preserve">Largeur de cadrage (SoccerPlanWidthTest — 13 tests)</w:t>
      </w:r>
    </w:p>
    <w:p>
      <w:pPr>
        <w:spacing w:after="80" w:line="272"/>
      </w:pPr>
      <w:r>
        <w:rPr>
          <w:rFonts w:ascii="Calibri" w:cs="Calibri" w:eastAsia="Calibri" w:hAnsi="Calibri"/>
          <w:sz w:val="21"/>
          <w:szCs w:val="21"/>
        </w:rPr>
        <w:t xml:space="preserve">Prouve que le choix du plan (large/moyen/rapproché) est stable :</w:t>
      </w:r>
    </w:p>
    <w:p>
      <w:pPr>
        <w:pStyle w:val="ListParagraph"/>
        <w:numPr>
          <w:ilvl w:val="0"/>
          <w:numId w:val="1"/>
        </w:numPr>
        <w:spacing w:after="40" w:line="264"/>
      </w:pPr>
      <w:r>
        <w:rPr>
          <w:rFonts w:ascii="Calibri" w:cs="Calibri" w:eastAsia="Calibri" w:hAnsi="Calibri"/>
          <w:sz w:val="21"/>
          <w:szCs w:val="21"/>
        </w:rPr>
        <w:t xml:space="preserve">Toutes les transitions entre plans sont exercées, dans les deux sens.</w:t>
      </w:r>
    </w:p>
    <w:p>
      <w:pPr>
        <w:pStyle w:val="ListParagraph"/>
        <w:numPr>
          <w:ilvl w:val="0"/>
          <w:numId w:val="1"/>
        </w:numPr>
        <w:spacing w:after="40" w:line="264"/>
      </w:pPr>
      <w:r>
        <w:rPr>
          <w:rFonts w:ascii="Calibri" w:cs="Calibri" w:eastAsia="Calibri" w:hAnsi="Calibri"/>
          <w:sz w:val="21"/>
          <w:szCs w:val="21"/>
        </w:rPr>
        <w:t xml:space="preserve">L'hystérésis empêche le « yo-yo » (changement brusque de cadrage à chaque image).</w:t>
      </w:r>
    </w:p>
    <w:p>
      <w:pPr>
        <w:pStyle w:val="ListParagraph"/>
        <w:numPr>
          <w:ilvl w:val="0"/>
          <w:numId w:val="1"/>
        </w:numPr>
        <w:spacing w:after="40" w:line="264"/>
      </w:pPr>
      <w:r>
        <w:rPr>
          <w:rFonts w:ascii="Calibri" w:cs="Calibri" w:eastAsia="Calibri" w:hAnsi="Calibri"/>
          <w:sz w:val="21"/>
          <w:szCs w:val="21"/>
        </w:rPr>
        <w:t xml:space="preserve">Dans le doute (incertitude forte), le système ÉLARGIT toujours — choix conservateur pour ne pas perdre de joueurs.</w:t>
      </w:r>
    </w:p>
    <w:p>
      <w:pPr>
        <w:spacing w:after="80" w:line="272"/>
      </w:pPr>
      <w:r>
        <w:rPr>
          <w:rFonts w:ascii="Calibri" w:cs="Calibri" w:eastAsia="Calibri" w:hAnsi="Calibri"/>
          <w:sz w:val="21"/>
          <w:szCs w:val="21"/>
        </w:rPr>
        <w:t xml:space="preserve">Lien sécurité : un cadrage instable pourrait provoquer des mouvements caméra saccadés ; ce composant décide prudemment.</w:t>
      </w:r>
    </w:p>
    <w:p>
      <w:pPr>
        <w:pStyle w:val="Heading3"/>
        <w:spacing w:after="70" w:before="130"/>
      </w:pPr>
      <w:r>
        <w:rPr>
          <w:rFonts w:ascii="Calibri" w:cs="Calibri" w:eastAsia="Calibri" w:hAnsi="Calibri"/>
          <w:b/>
          <w:bCs/>
          <w:color w:val="1F3864"/>
        </w:rPr>
        <w:t xml:space="preserve">Seuils de sécurité gravés (SafetyLimitsTest — 10 tests)</w:t>
      </w:r>
    </w:p>
    <w:p>
      <w:pPr>
        <w:spacing w:after="80" w:line="272"/>
      </w:pPr>
      <w:r>
        <w:rPr>
          <w:rFonts w:ascii="Calibri" w:cs="Calibri" w:eastAsia="Calibri" w:hAnsi="Calibri"/>
          <w:sz w:val="21"/>
          <w:szCs w:val="21"/>
        </w:rPr>
        <w:t xml:space="preserve">Prouve que les seuils de sécurité ne peuvent pas être modifiés par inadvertance :</w:t>
      </w:r>
    </w:p>
    <w:p>
      <w:pPr>
        <w:pStyle w:val="ListParagraph"/>
        <w:numPr>
          <w:ilvl w:val="0"/>
          <w:numId w:val="1"/>
        </w:numPr>
        <w:spacing w:after="40" w:line="264"/>
      </w:pPr>
      <w:r>
        <w:rPr>
          <w:rFonts w:ascii="Calibri" w:cs="Calibri" w:eastAsia="Calibri" w:hAnsi="Calibri"/>
          <w:sz w:val="21"/>
          <w:szCs w:val="21"/>
        </w:rPr>
        <w:t xml:space="preserve">Les valeurs clés sont figées : fraîcheur YOLO 600 ms, watchdog 500 ms, batterie 40 %, buffer 16,2 m, plafond opérationnel 35 m, etc.</w:t>
      </w:r>
    </w:p>
    <w:p>
      <w:pPr>
        <w:pStyle w:val="ListParagraph"/>
        <w:numPr>
          <w:ilvl w:val="0"/>
          <w:numId w:val="1"/>
        </w:numPr>
        <w:spacing w:after="40" w:line="264"/>
      </w:pPr>
      <w:r>
        <w:rPr>
          <w:rFonts w:ascii="Calibri" w:cs="Calibri" w:eastAsia="Calibri" w:hAnsi="Calibri"/>
          <w:sz w:val="21"/>
          <w:szCs w:val="21"/>
        </w:rPr>
        <w:t xml:space="preserve">Toute modification d'un seuil casse immédiatement un test → revue obligatoire + re-test E-01..E-12 + mise à jour du dossier.</w:t>
      </w:r>
    </w:p>
    <w:p>
      <w:pPr>
        <w:spacing w:after="80" w:line="272"/>
      </w:pPr>
      <w:r>
        <w:rPr>
          <w:rFonts w:ascii="Calibri" w:cs="Calibri" w:eastAsia="Calibri" w:hAnsi="Calibri"/>
          <w:sz w:val="21"/>
          <w:szCs w:val="21"/>
        </w:rPr>
        <w:t xml:space="preserve">Lien sécurité : garde-fou contre les modifications accidentelles des paramètres qui gouvernent les barrières.</w:t>
      </w:r>
    </w:p>
    <w:p>
      <w:pPr>
        <w:pStyle w:val="Heading3"/>
        <w:spacing w:after="70" w:before="130"/>
      </w:pPr>
      <w:r>
        <w:rPr>
          <w:rFonts w:ascii="Calibri" w:cs="Calibri" w:eastAsia="Calibri" w:hAnsi="Calibri"/>
          <w:b/>
          <w:bCs/>
          <w:color w:val="1F3864"/>
        </w:rPr>
        <w:t xml:space="preserve">Synthèse</w:t>
      </w:r>
    </w:p>
    <w:p>
      <w:pPr>
        <w:spacing w:after="80" w:line="272"/>
      </w:pPr>
      <w:r>
        <w:rPr>
          <w:rFonts w:ascii="Calibri" w:cs="Calibri" w:eastAsia="Calibri" w:hAnsi="Calibri"/>
          <w:b/>
          <w:bCs/>
          <w:sz w:val="21"/>
          <w:szCs w:val="21"/>
        </w:rPr>
        <w:t xml:space="preserve">Au total, 717 cas de test automatisés couvrent le cœur logiciel de sécurité, dont les composants critiques sont fortement testés : arbitre (FlightCommandArbiter, 23 cas), double verrou (Emission2DGuard, 25), watchdog (13), mapping des axes (10), contrôleur d'altitude (10). La couverture mesurée du package soccer est de 86,7 % (instructions), 88,0 % (lignes), 72,4 % (branches) — v54, commit bc66b47. Ces tests transforment « le code devrait faire cela » en « le code fait cela, prouvé automatiquement » — c'est la preuve logicielle des barrières, à créditer sur la LOGIQUE (le crédit opérationnel plein exigeant la démonstration en vol, §10quater S.5).</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(EXIGENCE BLOQUANTE) : </w:t>
      </w:r>
      <w:r>
        <w:rPr>
          <w:rFonts w:ascii="Calibri" w:cs="Calibri" w:eastAsia="Calibri" w:hAnsi="Calibri"/>
          <w:sz w:val="21"/>
          <w:szCs w:val="21"/>
        </w:rPr>
        <w:t xml:space="preserve">le watchdog actuel détecte certains dépassements de délai tant que son fil continue de s'exécuter. Il ne détecte PAS un gel total de ce fil et ne démontre PAS la neutralisation de la dernière commande Virtual Stick. Un mécanisme indépendant capable de désarmer le mode, neutraliser la commande et demander la sortie du Virtual Stick est requis avant toute émission réelle (NC-T2-005). Watchdog inter-thread STRICTEMENT indépendant = EXIGENCE BLOQUANTE (REQ-WDG-001).</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FONCTION DÉMONTRÉE : détection d'un cycle trop ancien (battement &gt; 500 ms → consigne forcée à zéro) tant que le fil du watchdog s'exécute. LIMITE : le battement et la vérification vivent dans le MÊME fil — un gel TOTAL de ce fil n'est PAS détecté, et rien ne démontre la neutralisation physique de la dernière commande Virtual Stick. EXIGENCE IMPLÉMENTÉE (v53, commit acf6312) : WatchdogIndependant — thread B STRICTEMENT indépendant du fil d'émission ; battement lock-free (horloge monotone), armement = premier battement (fail-closed), latch one-shot (réarmement uniquement par décision humaine), recul d'horloge = périmé, exceptions contenues. Au déclenchement (depuis le fil B vivant) : désarmement du mode + drapeau d'urgence + commande neutre directe + demande de sortie Virtual Stick + journalisation, SANS passer par le fil UI. TESTÉ : 16 cas (WatchdogIndependantTest), dont un fil d'émission RÉELLEMENT gelé (threads réels) détecté en ~timeout, survie du fil B à une exception des actions, et battements concurrents. CRÉDIT LOGIQUE seulement (règle S.5) — RESTE pour le crédit opérationnel (intégré à E-03 au banc) : comportement sur appareil (thermique, priorité des threads Android, mort du processus) et EFFET RÉEL de la demande de sortie Virtual Stick sur l'aéronef ; mesurer la tenue en fréquence dans la durée.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condition APPLICABLE de l'arbitre est fausse (fail-closed) : 8 conditions en baseline altitude (gate hors périmètre, v51) ; 9 sur le chemin horizontal.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 STATUT v53 : IMPLÉMENTÉ (WatchdogIndependant, thread B, commit acf6312) + 16 tests (fil réellement gelé inclus) ; validation sur appareil via E-03.</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 tests directs + défaut inerte (13 dans l'ancien rapport historique)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§9.3.10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(§6.4 : HAZ-44, HAZ-19, HAZ-39, HAZ-40) et pour les dangers MOYENS (§6.5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ÉLÉMENT À FOURNIR PAR L'EXPLOITANT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officiel SFOC-RPAS (numéro à vérifier) ; prévoir 30 OU 60 jours ouvrables selon la classification retenue par TC (événement annoncé standard : 30 j ouvrables ; complexité moyenne/haute : 60 j ouvrables), à compter d'un dossier complet et des frais requis.</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officiel SFOC-RPAS (révision courante vérifiée),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Watchdog de CYCLE — FAIT (CommandeWatchdog : force la consigne à zéro sur perte de cycle, TANT QUE son propre fil s'exécute). Il ne détecte pas un gel total de ce fil et ne démontre pas la neutralisation physique de la dernière commande Virtual Stick. Watchdog sur thread STRICTEMENT INDÉPENDANT, capable de désarmer le mode, neutraliser la commande et demander la sortie du Virtual Stick = FAIT AU NIVEAU LOGICIEL (v53 : WatchdogIndependant, thread B, 16 tests dont gel réel) ; la validation SUR APPAREIL est intégrée à E-03 (bloquante pour le crédit opérationnel).</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 HAZ-17 (perte totale d'alimentation, gravité 5) : fournir le programme de maintenance batteries, les critères d'acceptation (état de santé, cycles, tension, température) et la REVUE SPÉCIALE — blocage ALARP avant dépôt, INDÉPENDANT d'E-03 et du confinement.</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§4.2).</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À CONFIRMER PAR L'EXPLOITANT :.</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montant applicable sera celui EN VIGUEUR et CONFIRMÉ par Transports Canada au dépôt. Ne pas présumer 75 $ : une chaîne logicielle capable d'émettre des commandes peut entraîner une classification de complexité supérieure (900 $ ou 2 000 $). La grille 20/75/900/2000 $ (2025) est indicative.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(numéro rapporté : 26-0835E — à vérifier),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(§6.4).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v49 : la page officielle TC formule le critère notamment comme le vol À MOINS DE 30 m des limites de l'événement annoncé ; un RPAS maintenu à au moins 30 m de ces limites n'est pas nécessairement considéré comme volant « à l'événement » pour ce seul motif. Le périmètre officiel doit être cartographié et la distance calculée ; le scénario conservateur (SFOC demandé) reste retenu tant que cette démonstration n'est pas faite et confirmée par écrit par TC pour le scénario précis.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p>
      <w:pPr>
        <w:pStyle w:val="Heading1"/>
        <w:spacing w:after="140" w:before="200"/>
      </w:pPr>
      <w:r>
        <w:rPr>
          <w:rFonts w:ascii="Calibri" w:cs="Calibri" w:eastAsia="Calibri" w:hAnsi="Calibri"/>
          <w:b/>
          <w:bCs/>
          <w:color w:val="1F3864"/>
        </w:rPr>
        <w:t xml:space="preserve">Approbation finale du dossier</w:t>
      </w:r>
    </w:p>
    <w:p>
      <w:pPr>
        <w:spacing w:after="80" w:line="276"/>
      </w:pPr>
      <w:r>
        <w:rPr>
          <w:rFonts w:ascii="Calibri" w:cs="Calibri" w:eastAsia="Calibri" w:hAnsi="Calibri"/>
          <w:b/>
          <w:bCs/>
          <w:sz w:val="21"/>
          <w:szCs w:val="21"/>
        </w:rPr>
        <w:t xml:space="preserve">Par leurs signatures, les personnes attestent que le dossier a été rédigé, approuvé et revu de façon indépendante, et que les risques résiduels sont jugés acceptables pour l'opération demandée — SOUS RÉSERVE de la complétion des éléments bloquants (essais en vol, autorisation NAV Drone, pièces administratives).</w:t>
      </w:r>
    </w:p>
    <w:p>
      <w:pPr>
        <w:spacing w:after="20" w:before="120"/>
      </w:pPr>
      <w:r>
        <w:rPr>
          <w:rFonts w:ascii="Calibri" w:hAnsi="Calibri"/>
          <w:b/>
          <w:sz w:val="21"/>
          <w:color w:val="1F3864"/>
        </w:rPr>
        <w:t xml:space="preserve">Auteur</w:t>
      </w:r>
      <w:r>
        <w:rPr>
          <w:rFonts w:ascii="Calibri" w:hAnsi="Calibri"/>
          <w:i/>
          <w:sz w:val="18"/>
          <w:color w:val="666666"/>
        </w:rPr>
        <w:t xml:space="preserve">  (rédacteur du dossier)</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Approbateur (exploitant)</w:t>
      </w:r>
      <w:r>
        <w:rPr>
          <w:rFonts w:ascii="Calibri" w:hAnsi="Calibri"/>
          <w:i/>
          <w:sz w:val="18"/>
          <w:color w:val="666666"/>
        </w:rPr>
        <w:t xml:space="preserve">  (accepte les risques résiduels)</w:t>
      </w:r>
    </w:p>
    <w:p>
      <w:pPr>
        <w:spacing w:after="60"/>
      </w:pPr>
      <w:r>
        <w:rPr>
          <w:rFonts w:ascii="Calibri" w:hAnsi="Calibri"/>
          <w:sz w:val="21"/>
        </w:rPr>
        <w:t xml:space="preserve">Nom : _____________________________     Signature : _____________________     Date : _______________</w:t>
      </w:r>
    </w:p>
    <w:p>
      <w:pPr>
        <w:spacing w:after="20" w:before="120"/>
      </w:pPr>
      <w:r>
        <w:rPr>
          <w:rFonts w:ascii="Calibri" w:hAnsi="Calibri"/>
          <w:b/>
          <w:sz w:val="21"/>
          <w:color w:val="1F3864"/>
        </w:rPr>
        <w:t xml:space="preserve">Réviseur indépendant</w:t>
      </w:r>
      <w:r>
        <w:rPr>
          <w:rFonts w:ascii="Calibri" w:hAnsi="Calibri"/>
          <w:i/>
          <w:sz w:val="18"/>
          <w:color w:val="666666"/>
        </w:rPr>
        <w:t xml:space="preserve">  (distinct de l'auteur ; se prononce sur l'acceptabilité)</w:t>
      </w:r>
    </w:p>
    <w:p>
      <w:pPr>
        <w:spacing w:after="60"/>
      </w:pPr>
      <w:r>
        <w:rPr>
          <w:rFonts w:ascii="Calibri" w:hAnsi="Calibri"/>
          <w:sz w:val="21"/>
        </w:rPr>
        <w:t xml:space="preserve">Nom : _____________________________     Signature : _____________________     Date : _______________</w:t>
      </w:r>
    </w:p>
    <w:p>
      <w:pPr>
        <w:spacing w:after="80" w:line="276"/>
      </w:pPr>
      <w:r>
        <w:rPr>
          <w:rFonts w:ascii="Calibri" w:cs="Calibri" w:eastAsia="Calibri" w:hAnsi="Calibri"/>
          <w:sz w:val="21"/>
          <w:szCs w:val="21"/>
        </w:rPr>
        <w:t xml:space="preserve"/>
      </w:r>
    </w:p>
    <w:p>
      <w:pPr>
        <w:spacing w:after="80" w:line="276"/>
      </w:pPr>
      <w:r>
        <w:rPr>
          <w:rFonts w:ascii="Calibri" w:cs="Calibri" w:eastAsia="Calibri" w:hAnsi="Calibri"/>
          <w:b/>
          <w:bCs/>
          <w:sz w:val="21"/>
          <w:szCs w:val="21"/>
        </w:rPr>
        <w:t xml:space="preserve">Tant que les essais (fiches d'essai en vol, Annexe B), les pièces administratives et l'analyse d'espace aérien ne sont pas complétés, ce dossier reste une ÉBAUCHE non déposable, quelles que soient les signatures. Après délivrance du SFOC, l'opération NAV Drone acceptée (RPAS Operation Summary) constitue une condition préalable au VOL, non au dépôt initial.</w:t>
      </w:r>
    </w:p>
    <w:p>
      <w:pPr>
        <w:spacing w:before="240" w:after="120"/>
      </w:pPr>
      <w:r>
        <w:rPr>
          <w:rFonts w:ascii="Calibri" w:cs="Calibri" w:eastAsia="Calibri" w:hAnsi="Calibri"/>
          <w:sz w:val="21"/>
          <w:szCs w:val="21"/>
        </w:rPr>
        <w:t xml:space="preserve"> </w:t>
      </w:r>
    </w:p>
    <w:p>
      <w:pPr>
        <w:pStyle w:val="Heading2"/>
        <w:spacing w:after="100" w:before="200"/>
      </w:pPr>
      <w:r>
        <w:rPr>
          <w:rFonts w:ascii="Calibri" w:cs="Calibri" w:eastAsia="Calibri" w:hAnsi="Calibri"/>
          <w:b/>
          <w:bCs/>
          <w:color w:val="1F3864"/>
        </w:rPr>
        <w:t xml:space="preserve">Annexe — Rapport JUnit historique (SUPERSEDED : sous-ensemble soccer 26 classes / 278 cas ; décompte à jour au §7.1)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(v55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