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52.0 — Événement annoncé (version maître — corrections D01-D06 de l'analyse v51) — 2026-07-20</w:t>
      </w:r>
    </w:p>
    <w:p>
      <w:pPr>
        <w:spacing w:after="40"/>
        <w:jc w:val="center"/>
      </w:pPr>
      <w:r>
        <w:rPr>
          <w:rFonts w:ascii="Calibri" w:cs="Calibri" w:eastAsia="Calibri" w:hAnsi="Calibri"/>
          <w:sz w:val="20"/>
          <w:szCs w:val="20"/>
        </w:rPr>
        <w:t xml:space="preserve">Exploitant : CineFlight ‹dénomination légale à confirmer› · Pilote resp. : ‹NOM de la personne à désigner›</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left w:val="single" w:color="C00000" w:sz="8"/>
          <w:bottom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À CONFIRMER PAR L'EXPLOITANT :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La configuration PRÉVUE place le volume de vol À CÔTÉ du terrain et INTERDIT le survol de personnes — cette séparation reste à confirmer par le relevé et le plan opérationnel final. Baseline demandée : altitude automatisée seule, vitesse verticale ≤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une valeur logicielle positive conforme au contrat de commande — le mouvement physique correspondant reste à confirmer en vol (§6.4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Watchdog de cycle (500 ms) implémenté et testé.</w:t>
      </w:r>
    </w:p>
    <w:p>
      <w:pPr>
        <w:pStyle w:val="ListParagraph"/>
        <w:numPr>
          <w:ilvl w:val="0"/>
          <w:numId w:val="1"/>
        </w:numPr>
        <w:spacing w:after="40" w:line="264"/>
      </w:pPr>
      <w:r>
        <w:rPr>
          <w:rFonts w:ascii="Calibri" w:cs="Calibri" w:eastAsia="Calibri" w:hAnsi="Calibri"/>
          <w:sz w:val="21"/>
          <w:szCs w:val="21"/>
        </w:rPr>
        <w:t xml:space="preserve">Preuve logicielle : 696 cas de test automatisés ; couverture du cœur sécurité 86 % (instructions), 71,6 % (branches). Classe SafetyLimits centralisant les seuils.</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(§4.2.1 à §4.2.4).</w:t>
      </w:r>
    </w:p>
    <w:p>
      <w:pPr>
        <w:pStyle w:val="ListParagraph"/>
        <w:numPr>
          <w:ilvl w:val="0"/>
          <w:numId w:val="1"/>
        </w:numPr>
        <w:spacing w:after="40" w:line="264"/>
      </w:pPr>
      <w:r>
        <w:rPr>
          <w:rFonts w:ascii="Calibri" w:cs="Calibri" w:eastAsia="Calibri" w:hAnsi="Calibri"/>
          <w:sz w:val="21"/>
          <w:szCs w:val="21"/>
        </w:rPr>
        <w:t xml:space="preserve">Procédures d'urgence : NEUF procédures d'urgence numérotées (§9.3.1 à §9.3.9), complétées par une section d'autorité et de communications (§9.3.10),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SÉQUENCE : AVANT le dépôt SFOC, joindre l'analyse d'espace aérien (cartes, coordonnées, volume) et la méthode prévue d'obtention des autorisations. APRÈS délivrance du SFOC et avant chaque opération : créer l'opération dans NAV Drone sous la catégorie appropriée, satisfaire les tâches de permission générées et conserver le RPAS Operation Summary accepté, lorsqu'applicable. Aucun statut d'autorisation n'est présumé.</w:t>
      </w:r>
    </w:p>
    <w:p>
      <w:pPr>
        <w:pStyle w:val="ListParagraph"/>
        <w:numPr>
          <w:ilvl w:val="0"/>
          <w:numId w:val="1"/>
        </w:numPr>
        <w:spacing w:after="40" w:line="264"/>
      </w:pPr>
      <w:r>
        <w:rPr>
          <w:rFonts w:ascii="Calibri" w:cs="Calibri" w:eastAsia="Calibri" w:hAnsi="Calibri"/>
          <w:sz w:val="21"/>
          <w:szCs w:val="21"/>
        </w:rPr>
        <w:t xml:space="preserve">Pièces administratives : l'événement est annoncé au public ; le périmètre officiel de l'événement sera cartographié. La demande retient PROVISOIREMENT le scénario SFOC conservateur ; le fondement « événement annoncé » sera confirmé lorsque la distance minimale entre le volume de vol et les limites de l'événement aura été établie (critère officiel : vol à moins de 30 m des limites).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NOTE : la version, la date, le commit et le hash APK sont pilotés depuis CE tableau (source documentaire unique) ; toute divergence ailleurs dans le dossier est une erreur à corriger. Le dossier deviendra DÉPOSABLE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(statut, non chiffré) : ÉBAUCHE non déposable. TROIS blocages critiques restent OUVERTS (comportement Virtual Stick inconnu — E-03 au banc ; watchdog non indépendant ; confinement non démontré) ; un seul suffit à rendre l'opération non prête. RÉSOLU en v51 : le blocage logiciel obstacleGateAllows a été levé PROPREMENT — condition RETIRÉE du chemin de la baseline altitude (pas un false→true), preuve d'indépendance du bit sur les 512 combinaisons, suite complète re-exécutée (696 tests, 0 échec). L'émission RÉELLE sur l'aéronef demeure NON démontrée (SOCCER_2D_REAL_ENABLED=false ; E-03 requis). Voir le tableau détaillé au §0. Les blocs logiciels, l'argument de sécurité, les procédures et le confinement sont les plus avancés (statuts détaillés au tableau du §0 — aucun pourcentage de maturité n'est utilisé) ; les preuves EN VOL et les pièces administratives dépendent d'actions à mener sur le terrain.</w:t>
      </w:r>
    </w:p>
    <w:p>
      <w:pPr>
        <w:pStyle w:val="Heading1"/>
        <w:spacing w:after="140" w:before="200"/>
      </w:pPr>
      <w:r>
        <w:rPr>
          <w:rFonts w:ascii="Calibri" w:cs="Calibri" w:eastAsia="Calibri" w:hAnsi="Calibri"/>
          <w:b/>
          <w:bCs/>
          <w:color w:val="1F3864"/>
        </w:rPr>
        <w:t xml:space="preserve">Page des signatures et approbations</w:t>
      </w:r>
    </w:p>
    <w:p>
      <w:pPr>
        <w:spacing w:after="80" w:line="276"/>
      </w:pPr>
      <w:r>
        <w:rPr>
          <w:rFonts w:ascii="Calibri" w:cs="Calibri" w:eastAsia="Calibri" w:hAnsi="Calibri"/>
          <w:b/>
          <w:bCs/>
          <w:sz w:val="21"/>
          <w:szCs w:val="21"/>
        </w:rPr>
        <w:t xml:space="preserve">Ce dossier n'est déposable qu'une fois signé par les personnes ci-dessous. Aucune signature ne doit être apposée avant que le contenu correspondant soit définitif et véridique. Statut actuel : ÉBAUCHE — non déposable.</w:t>
      </w:r>
    </w:p>
    <w:p>
      <w:pPr>
        <w:spacing w:after="80" w:line="276"/>
      </w:pPr>
      <w:r>
        <w:rPr>
          <w:rFonts w:ascii="Calibri" w:cs="Calibri" w:eastAsia="Calibri" w:hAnsi="Calibri"/>
          <w:b/>
          <w:bCs/>
          <w:sz w:val="21"/>
          <w:szCs w:val="21"/>
        </w:rPr>
        <w:t xml:space="preserve">Signataires requis pour le dépôt :</w:t>
      </w:r>
    </w:p>
    <w:p>
      <w:pPr>
        <w:spacing w:after="20" w:before="120"/>
      </w:pPr>
      <w:r>
        <w:rPr>
          <w:rFonts w:ascii="Calibri" w:hAnsi="Calibri"/>
          <w:b/>
          <w:sz w:val="21"/>
          <w:color w:val="1F3864"/>
        </w:rPr>
        <w:t xml:space="preserve">Auteur du dossier</w:t>
      </w:r>
      <w:r>
        <w:rPr>
          <w:rFonts w:ascii="Calibri" w:hAnsi="Calibri"/>
          <w:i/>
          <w:sz w:val="18"/>
          <w:color w:val="666666"/>
        </w:rPr>
        <w:t xml:space="preserve">  (rédacteur — CineFlight)</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(responsable de l'opération — à désigner)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(OBLIGATOIRE — personne distincte de l'auteur)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Pilote responsable</w:t>
      </w:r>
      <w:r>
        <w:rPr>
          <w:rFonts w:ascii="Calibri" w:hAnsi="Calibri"/>
          <w:i/>
          <w:sz w:val="18"/>
          <w:color w:val="666666"/>
        </w:rPr>
        <w:t xml:space="preserve">  (essais et opération — +1 438 367 6652)</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État des signatures : toutes À OBTENIR. Le réviseur indépendant doit se prononcer sur l'acceptabilité des risques résiduels avant tout dépôt.</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CF-SC-SOCCER-001 ‹numéro à confirmer par l'exploitant›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 NOTE : la version, la date, le commit et le hash APK sont pilotés depuis CE tableau (source documentaire unique) ; toute divergence ailleurs dans le dossier est une erreur à corriger.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31c7df7 (2026-07-20 — retrait obstacleGate de la baseline altitude, preuves refaites, dossier v52 ; le watchdog indépendant fera l'objet d'un commit distinct)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1.0–41.0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Élaboration progressive (architecture, risques, essais, barrières, ALARP, CONOPS). Détail complet : voir le FICHIER SÉPARÉ « Historique_Versions_CineFlight.docx » (archive de traçabilité, versions 1.0 à 51.0).</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RELECTURE QUALITÉ + 17 tests de plus : cohérence des chiffres corrigée (tableau d'avancement et corps : 620→672 cas de test). Ajout SoccerPhaseTest (10) et SoccerPlayDirectionTest (7). Total 689 cas de test. Vérifié : version homogène, sections §4.2.1 à §4.2.4 sans doublon, chiffres de couverture cohérents.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3-4 : (cohérence) nombre de tests unifié à 689 (278 = rapport historique superseded), version résiduelle 27→43, APK debug→RELEASE requis, 'baseline certifié'→'configuration figée (SFOC)'. (ALARP/procédures) FMEA synchronisée (SafetyLimits créée, E-09 validé sol, Emission2DGuard 25 cas), chute de tension reclassée (non gérable par failsafe), seuil batterie 40%=interruption (pas décollage), météo 25 op/28 essai clarifiée, personnel = NOM de personne (pas 'CineFlight'), intrusion = corridor précis par site.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RESTRUCTURATION + ANNEXES : renumérotation PARTIELLE des sous-sections (4.2bis/ter/quater/quinquies → 4.2.1/2/3/4 ; anciennes fiches 6ter/quater → 6.4/6.5 ; 4.0bis/ter/quater → 4.0.2/3/4), renvois mis à jour ; les identifiants 6bis, 6ter, 10ter et 10quater subsistent comme identifiants stables (renumérotation NON terminée). Les 6 pièces annexes (rapport d'essais, fiches d'essai en vol, exercice d'intrusion, couverture des tests, 2 lettres) regroupées dans un RECUEIL DES ANNEXES séparé (A-F). Versions intermédiaires v2-v43 archivées (dossier _archives_versions).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EN FORME (demandes) : ordre chronologique de l'historique corrigé (42-47 croissant) ; bloc de signatures en fin de dossier (Approbation finale) ; colonne des pourcentages retirée du tableau d'avancement (remplacée par 'Nature du reste') ; nouveau plan de confinement conforme (buffer 16,2 m, nord, cotations, échelle) ; notes 'À VÉRIFIER/RÉVISER' converties en 'ÉLÉMENT À FOURNIR PAR L'EXPLOITANT' — les anciennes notes « À VÉRIFIER » sont regroupées sous « ÉLÉMENT À FOURNIR PAR L'EXPLOITANT » ; plusieurs données et preuves demeurent OUVERTES et à compléter avant dépôt.</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48.0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v47 APPLIQUÉ : résidus watchdog/hover/672 corrigés dans tout le corps ; état d'avancement rendu non chiffré (ébauche, blocages ouverts) ; buffer requalifié partout VALEUR PROVISOIRE ; émission réelle distinguée du chemin logique testé ; §4.2 et §9.3 réordonnés ; tableau admin microdrone corrigé. DÉFAUT documentaire : la page de titre et le tableau de contrôle étaient restés à 47.0 (corrigé en v49).</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49.0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v48 APPLIQUÉ : contrôle documentaire unifié (version 49.0 partout, source documentaire unique = tableau de contrôle) ; table des matières générée ; fondement « événement annoncé » qualifié (périmètre cartographié + critère officiel des 30 m des limites de l'événement) ; séquence corrigée SFOC → NAV Drone (analyse d'espace aérien AVANT dépôt ; opération NAV Drone + RPAS Operation Summary APRÈS délivrance, avant chaque opération) ; MANIFESTE RÉEL des preuves logicielles (71 classes / 689 tests / 0 échec, exécution unique du 2026-07-20 ; 278 = rapport historique superseded ; Emission2DGuardTest 25 cas directs) ; formulations hover / « rend la main » / « Virtual Stick coupé » remplacées par des états logiciels à démontrer (E-03/E-12) ; watchdog indépendant réaffirmé BLOQUANT (feuille de route corrigée) ; conclusion buffer réécrite (ni robuste ni défendable ; la mesure peut confirmer, réduire OU augmenter) ; marge forfaitaire 5 m décomposée en termes mesurables ; exigences du plan final listées ; paragraphe JNI réécrit (FAIL-CLOSED, phrase corrigée) ; statut SafetyLimits honnête (migration incomplète, crédit de source unique refusé) ; E-03 défini comme essai de BANC préalable (10 scénarios, configuration figée) ; §9.3 renuméroté en continu (9.3.1-9.3.10) ; champs [EXEMPLE] convertis en « À CONFIRMER PAR L'EXPLOITANT » ; pourcentages de maturité supprimés du corps ; historique 1.0-41.0 déplacé en annexe. BLOCAGES INCHANGÉS : obstacleGateAllows=false, watchdog indépendant, E-03,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50.0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v49 APPLIQUÉ (nettoyage de cohérence) : paragraphe watchdog contradictoire SUPPRIMÉ (texte unique — exigence bloquante, plus de « sûr » ni « amélioration recommandée ») ; fondement événement annoncé HARMONISÉ partout (périmètre cartographié + critère 30 m, scénario conservateur PROVISOIRE — p7/p10) ; NAV Drone = condition de VOL, non de dépôt (p26/p77 corrigées) ; Emission2DGuard 13→25 corrigé (p23 + GSN G1.2) ; rapport JUnit historique 278 DÉPLACÉ EN ANNEXE, §7.4→§7.3 ; preuves RÉELLES jointes (archive Preuves_Tests_Logiciels : 71 rapports JUnit XML + HTML + JaCoCo) ; « Argument de marge », « BUFFER TOTAL ROBUSTE », « LA PLUS pessimiste », « très conservateur » SUPPRIMÉS → BUFFER PROVISOIRE CALCULÉ, tous les termes non mesurés provisoires, la mesure peut confirmer/réduire/AUGMENTER ; §4.2.4 requalifié DÉPISTAGE LATÉRAL PRÉLIMINAIRE (OK → LATÉRAL POSSIBLE — analyse complète requise) ; 10 renvois confinement §4.3→§4.2 corrigés ; décompte procédures corrigé (NEUF d'urgence §9.3.1-9.3.9 + autorité §9.3.10) ; contrats position/altitude renseignés avec les clés MSDK RÉELLES du code (KeyAircraftLocation3D ; KeyAltitude = altitude RELATIVE au décollage, PAS l'AGL) — champs mesurables marqués À MESURER (bloquants) ; héliports reformulés (CFS, circuits, procédure — pas de présomption par distance seule) ; page blanche §2.4 supprimée ; ordre 5.2/5.3 corrigé (renvois inclus) ; 3 en-têtes EXEMPLE convertis ; phrase cassée du résumé réparée ; parenthèse JNI corrigée. BLOCAGES INCHANGÉS : obstacleGateAllows=false, watchdog indépendant, E-03,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51.0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v50 APPLIQUÉ — DÉCISIONS EXPLOITANT : baseline UNIQUE Option A (altitude automatisée seule) ; l'application CONSERVE ses deux modes de suivi (RAIL / 2D TERRAIN), déplacements horizontaux VERROUILLÉS pendant les opérations SFOC. CODE : obstacleGateAllows RETIRÉ PROPREMENT du chemin baseline altitude (paramètre horizontalMotionRequested ; gate = condition dure du seul chemin horizontal) ; preuves refaites — FlightCommandArbiterTest 29 cas (2 preuves exhaustives de 512 : horizontal 1 cas autorisé / altitude 2 cas + indépendance du bit gate), Emission2DGuardTest 26 cas ; suite complète RE-EXÉCUTÉE : 71 classes / 696 tests / 0 échec / ≈ 14,0 s. DOSSIER : blocages ramenés à TROIS (E-03 banc, watchdog indépendant, confinement démontré) ; watchdog fusionné en 3 paragraphes (fonction/limite/exigence ouverte) ; HAZ-17 corrigé (AUCUN crédit failsafe sur perte totale d'alimentation ; résiduel NON accepté avant revue) ; FMEA watchdog SCINDÉE (retard fil actif crédité / gel total NON crédité) ; NC-T2-007 harmonisé avec §5.2 (KeyAircraftLocation3D ; champs mesurables bloquants) ; plage 15-35 m requalifiée RELATIVE AU DÉCOLLAGE (AGL par relevé terrain ; 2 variables distinctes) ; position sujet = cadrage (SANS OBJET sécurité), position pilote = VLOS (ne démontre pas le confinement) ; buffer : « pire cas / majorants / typique » supprimés, MÉTHODE PAR SCÉNARIOS de défaillance introduite (maximum crédible ; somme brute = enveloppe provisoire) ; cases JaCoCo remplies (86,0/71,6/87,0/82,9 — à régénérer sur v51) ; exigences variante RELEASE + extension couverture control ; INDEX des preuves jointes (SHA-256 réel) ; 7.5→7.4 ; réglementaire : §0.1 harmonisé (30 m, provisoire), multi-opérations dans la demande initiale, espace aérien À DÉTERMINER OFFICIELLEMENT, 922.05 selon la masse, délais 30/60 j ouvrables ; HISTORIQUE COMPLET déplacé vers le fichier séparé Historique_Versions_CineFlight.docx. BLOCAGES RESTANTS : E-03, watchdog indépendant,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52.0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ANALYSE v51 APPLIQUÉE (corrections D01-D06 ; la v51 est validée par l'audit comme VERSION MAÎTRE de prévalidation) : D01 — numéro de formulaire non figé (formulaire officiel de la page « Événement annoncé », numéro/révision à vérifier au téléchargement + fiche de consignation numéro/révision/date/SHA-256/source) ; D02 — avancement corrigé (déterminer OFFICIELLEMENT la classe d'espace aérien et les exigences ATS/NAV Drone ; permissions lorsque requises) ; D03 — « jamais au-dessus des personnes » requalifié configuration PRÉVUE, séparation à confirmer par le relevé et le plan final ; D04 — « montée logicielle » requalifiée valeur logicielle conforme au contrat de commande (mouvement physique à confirmer) ; D05 — GSN S7 : MÉTHODE DE SÉPARATION DÉFINIE, géométrie réelle non démontrée ; D06 — classification des essais au sol précisée (matrice d'environnement : chaîne réelle, moteurs coupés, hélices retirées, preuve = commande journalisée, aucun mouvement physique). BLOCAGES RESTANTS (inchangés) : E-03 au banc, watchdog indépendant, confinement démontré.</w:t>
            </w:r>
          </w:p>
        </w:tc>
      </w:tr>
    </w:tbl>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retenu PROVISOIREMENT (scénario conservateur)</w:t>
      </w:r>
      <w:r>
        <w:rPr>
          <w:rFonts w:ascii="Calibri" w:cs="Calibri" w:eastAsia="Calibri" w:hAnsi="Calibri"/>
          <w:sz w:val="21"/>
          <w:szCs w:val="21"/>
        </w:rPr>
        <w:t xml:space="preserve"> (RAC partie IX ; exigence étendue aux microdrones depuis 2025-04-01, pour un vol à MOINS DE 30 m des limites de l'événement). Le périmètre officiel de l'événement sera cartographié ; le fondement sera confirmé lorsque la distance minimale entre le volume de vol et les limites de l'événement aura été établie.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à confirmer par l'exploitant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ÉLÉMENT À FOURNIR PAR L'EXPLOITANT</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la chaîne réelle (APK, téléphone, RC, drone, MSDK) — moteurs coupés / hélices retirées : preuve = commande journalisée, PAS le mouvement physique final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instrText xml:space="preserve">TOC \h \o "1-2"</w:instrText>
            <w:fldChar w:fldCharType="separate"/>
          </w:r>
        </w:p>
        <w:p>
          <w:pPr>
            <w:tabs>
              <w:tab w:val="right" w:leader="dot" w:pos="9350"/>
            </w:tabs>
            <w:spacing w:after="40"/>
          </w:pPr>
          <w:r>
            <w:rPr>
              <w:rFonts w:ascii="Calibri" w:cs="Calibri" w:eastAsia="Calibri" w:hAnsi="Calibri"/>
              <w:b/>
              <w:bCs/>
              <w:sz w:val="19"/>
              <w:szCs w:val="19"/>
            </w:rPr>
            <w:t xml:space="preserve">0. Résumé exécutif</w:t>
          </w:r>
          <w:r>
            <w:tab/>
          </w:r>
          <w:r>
            <w:rPr>
              <w:sz w:val="19"/>
              <w:szCs w:val="19"/>
            </w:rPr>
            <w:t>11</w:t>
          </w:r>
        </w:p>
        <w:p>
          <w:pPr>
            <w:tabs>
              <w:tab w:val="right" w:leader="dot" w:pos="9350"/>
            </w:tabs>
            <w:spacing w:after="40"/>
            <w:ind w:left="240"/>
          </w:pPr>
          <w:r>
            <w:rPr>
              <w:rFonts w:ascii="Calibri" w:cs="Calibri" w:eastAsia="Calibri" w:hAnsi="Calibri"/>
              <w:sz w:val="19"/>
              <w:szCs w:val="19"/>
            </w:rPr>
            <w:t xml:space="preserve">0.1 Cadre réglementaire (synthèse) — quatre analyses distinctes</w:t>
          </w:r>
          <w:r>
            <w:tab/>
          </w:r>
          <w:r>
            <w:rPr>
              <w:sz w:val="19"/>
              <w:szCs w:val="19"/>
            </w:rPr>
            <w:t>11</w:t>
          </w:r>
        </w:p>
        <w:p>
          <w:pPr>
            <w:tabs>
              <w:tab w:val="right" w:leader="dot" w:pos="9350"/>
            </w:tabs>
            <w:spacing w:after="40"/>
            <w:ind w:left="240"/>
          </w:pPr>
          <w:r>
            <w:rPr>
              <w:rFonts w:ascii="Calibri" w:cs="Calibri" w:eastAsia="Calibri" w:hAnsi="Calibri"/>
              <w:sz w:val="19"/>
              <w:szCs w:val="19"/>
            </w:rPr>
            <w:t xml:space="preserve">0.2 État d'avancement (auto-évaluation prudente)</w:t>
          </w:r>
          <w:r>
            <w:tab/>
          </w:r>
          <w:r>
            <w:rPr>
              <w:sz w:val="19"/>
              <w:szCs w:val="19"/>
            </w:rPr>
            <w:t>12</w:t>
          </w:r>
        </w:p>
        <w:p>
          <w:pPr>
            <w:tabs>
              <w:tab w:val="right" w:leader="dot" w:pos="9350"/>
            </w:tabs>
            <w:spacing w:after="40"/>
          </w:pPr>
          <w:r>
            <w:rPr>
              <w:rFonts w:ascii="Calibri" w:cs="Calibri" w:eastAsia="Calibri" w:hAnsi="Calibri"/>
              <w:b/>
              <w:bCs/>
              <w:sz w:val="19"/>
              <w:szCs w:val="19"/>
            </w:rPr>
            <w:t xml:space="preserve">1. Argument de sécurité (Safety Argument)</w:t>
          </w:r>
          <w:r>
            <w:tab/>
          </w:r>
          <w:r>
            <w:rPr>
              <w:sz w:val="19"/>
              <w:szCs w:val="19"/>
            </w:rPr>
            <w:t>14</w:t>
          </w:r>
        </w:p>
        <w:p>
          <w:pPr>
            <w:tabs>
              <w:tab w:val="right" w:leader="dot" w:pos="9350"/>
            </w:tabs>
            <w:spacing w:after="40"/>
            <w:ind w:left="240"/>
          </w:pPr>
          <w:r>
            <w:rPr>
              <w:rFonts w:ascii="Calibri" w:cs="Calibri" w:eastAsia="Calibri" w:hAnsi="Calibri"/>
              <w:sz w:val="19"/>
              <w:szCs w:val="19"/>
            </w:rPr>
            <w:t xml:space="preserve">1.1 Objectif de sécurité principal (G0)</w:t>
          </w:r>
          <w:r>
            <w:tab/>
          </w:r>
          <w:r>
            <w:rPr>
              <w:sz w:val="19"/>
              <w:szCs w:val="19"/>
            </w:rPr>
            <w:t>14</w:t>
          </w:r>
        </w:p>
        <w:p>
          <w:pPr>
            <w:tabs>
              <w:tab w:val="right" w:leader="dot" w:pos="9350"/>
            </w:tabs>
            <w:spacing w:after="40"/>
            <w:ind w:left="240"/>
          </w:pPr>
          <w:r>
            <w:rPr>
              <w:rFonts w:ascii="Calibri" w:cs="Calibri" w:eastAsia="Calibri" w:hAnsi="Calibri"/>
              <w:sz w:val="19"/>
              <w:szCs w:val="19"/>
            </w:rPr>
            <w:t xml:space="preserve">1.2 Décomposition en stratégies, preuves et STATUT</w:t>
          </w:r>
          <w:r>
            <w:tab/>
          </w:r>
          <w:r>
            <w:rPr>
              <w:sz w:val="19"/>
              <w:szCs w:val="19"/>
            </w:rPr>
            <w:t>14</w:t>
          </w:r>
        </w:p>
        <w:p>
          <w:pPr>
            <w:tabs>
              <w:tab w:val="right" w:leader="dot" w:pos="9350"/>
            </w:tabs>
            <w:spacing w:after="40"/>
            <w:ind w:left="240"/>
          </w:pPr>
          <w:r>
            <w:rPr>
              <w:rFonts w:ascii="Calibri" w:cs="Calibri" w:eastAsia="Calibri" w:hAnsi="Calibri"/>
              <w:sz w:val="19"/>
              <w:szCs w:val="19"/>
            </w:rPr>
            <w:t xml:space="preserve">1.3 Hypothèses et limites de l'argument</w:t>
          </w:r>
          <w:r>
            <w:tab/>
          </w:r>
          <w:r>
            <w:rPr>
              <w:sz w:val="19"/>
              <w:szCs w:val="19"/>
            </w:rPr>
            <w:t>15</w:t>
          </w:r>
        </w:p>
        <w:p>
          <w:pPr>
            <w:tabs>
              <w:tab w:val="right" w:leader="dot" w:pos="9350"/>
            </w:tabs>
            <w:spacing w:after="40"/>
          </w:pPr>
          <w:r>
            <w:rPr>
              <w:rFonts w:ascii="Calibri" w:cs="Calibri" w:eastAsia="Calibri" w:hAnsi="Calibri"/>
              <w:b/>
              <w:bCs/>
              <w:sz w:val="19"/>
              <w:szCs w:val="19"/>
            </w:rPr>
            <w:t xml:space="preserve">2. Architecture du système</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2.0 Qu'est-ce que YOLO ? (pour lecteurs non spécialistes)</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2.1 Chaîne de commande</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2.2 Logique de décision de l'arbitre (fail-closed)</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2.3 Architecture d'exécution (fils / threads)</w:t>
          </w:r>
          <w:r>
            <w:tab/>
          </w:r>
          <w:r>
            <w:rPr>
              <w:sz w:val="19"/>
              <w:szCs w:val="19"/>
            </w:rPr>
            <w:t>19</w:t>
          </w:r>
        </w:p>
        <w:p>
          <w:pPr>
            <w:tabs>
              <w:tab w:val="right" w:leader="dot" w:pos="9350"/>
            </w:tabs>
            <w:spacing w:after="40"/>
            <w:ind w:left="240"/>
          </w:pPr>
          <w:r>
            <w:rPr>
              <w:rFonts w:ascii="Calibri" w:cs="Calibri" w:eastAsia="Calibri" w:hAnsi="Calibri"/>
              <w:sz w:val="19"/>
              <w:szCs w:val="19"/>
            </w:rPr>
            <w:t xml:space="preserve">2.4 Chronologie d'une image (latence)</w:t>
          </w:r>
          <w:r>
            <w:tab/>
          </w:r>
          <w:r>
            <w:rPr>
              <w:sz w:val="19"/>
              <w:szCs w:val="19"/>
            </w:rPr>
            <w:t>19</w:t>
          </w:r>
        </w:p>
        <w:p>
          <w:pPr>
            <w:tabs>
              <w:tab w:val="right" w:leader="dot" w:pos="9350"/>
            </w:tabs>
            <w:spacing w:after="40"/>
            <w:ind w:left="240"/>
          </w:pPr>
          <w:r>
            <w:rPr>
              <w:rFonts w:ascii="Calibri" w:cs="Calibri" w:eastAsia="Calibri" w:hAnsi="Calibri"/>
              <w:sz w:val="19"/>
              <w:szCs w:val="19"/>
            </w:rPr>
            <w:t xml:space="preserve">2.5 Moniteur de sécurité (Safety Monitor)</w:t>
          </w:r>
          <w:r>
            <w:tab/>
          </w:r>
          <w:r>
            <w:rPr>
              <w:sz w:val="19"/>
              <w:szCs w:val="19"/>
            </w:rPr>
            <w:t>20</w:t>
          </w:r>
        </w:p>
        <w:p>
          <w:pPr>
            <w:tabs>
              <w:tab w:val="right" w:leader="dot" w:pos="9350"/>
            </w:tabs>
            <w:spacing w:after="40"/>
            <w:ind w:left="240"/>
          </w:pPr>
          <w:r>
            <w:rPr>
              <w:rFonts w:ascii="Calibri" w:cs="Calibri" w:eastAsia="Calibri" w:hAnsi="Calibri"/>
              <w:sz w:val="19"/>
              <w:szCs w:val="19"/>
            </w:rPr>
            <w:t xml:space="preserve">2.6 Cybersécurité et sécurité de l'information</w:t>
          </w:r>
          <w:r>
            <w:tab/>
          </w:r>
          <w:r>
            <w:rPr>
              <w:sz w:val="19"/>
              <w:szCs w:val="19"/>
            </w:rPr>
            <w:t>21</w:t>
          </w:r>
        </w:p>
        <w:p>
          <w:pPr>
            <w:tabs>
              <w:tab w:val="right" w:leader="dot" w:pos="9350"/>
            </w:tabs>
            <w:spacing w:after="40"/>
          </w:pPr>
          <w:r>
            <w:rPr>
              <w:rFonts w:ascii="Calibri" w:cs="Calibri" w:eastAsia="Calibri" w:hAnsi="Calibri"/>
              <w:b/>
              <w:bCs/>
              <w:sz w:val="19"/>
              <w:szCs w:val="19"/>
            </w:rPr>
            <w:t xml:space="preserve">3. Analyse fonctionnelle des modules</w:t>
          </w:r>
          <w:r>
            <w:tab/>
          </w:r>
          <w:r>
            <w:rPr>
              <w:sz w:val="19"/>
              <w:szCs w:val="19"/>
            </w:rPr>
            <w:t>22</w:t>
          </w:r>
        </w:p>
        <w:p>
          <w:pPr>
            <w:tabs>
              <w:tab w:val="right" w:leader="dot" w:pos="9350"/>
            </w:tabs>
            <w:spacing w:after="40"/>
            <w:ind w:left="240"/>
          </w:pPr>
          <w:r>
            <w:rPr>
              <w:rFonts w:ascii="Calibri" w:cs="Calibri" w:eastAsia="Calibri" w:hAnsi="Calibri"/>
              <w:sz w:val="19"/>
              <w:szCs w:val="19"/>
            </w:rPr>
            <w:t xml:space="preserve">3.1 SafetySnapshot : 11 champs, 9 conditions décisionnelles</w:t>
          </w:r>
          <w:r>
            <w:tab/>
          </w:r>
          <w:r>
            <w:rPr>
              <w:sz w:val="19"/>
              <w:szCs w:val="19"/>
            </w:rPr>
            <w:t>23</w:t>
          </w:r>
        </w:p>
        <w:p>
          <w:pPr>
            <w:tabs>
              <w:tab w:val="right" w:leader="dot" w:pos="9350"/>
            </w:tabs>
            <w:spacing w:after="40"/>
            <w:ind w:left="240"/>
          </w:pPr>
          <w:r>
            <w:rPr>
              <w:rFonts w:ascii="Calibri" w:cs="Calibri" w:eastAsia="Calibri" w:hAnsi="Calibri"/>
              <w:sz w:val="19"/>
              <w:szCs w:val="19"/>
            </w:rPr>
            <w:t xml:space="preserve">3.2 Cohérence des données inter-fils (snapshot atomique) — IMPLÉMENTÉ (v16)</w:t>
          </w:r>
          <w:r>
            <w:tab/>
          </w:r>
          <w:r>
            <w:rPr>
              <w:sz w:val="19"/>
              <w:szCs w:val="19"/>
            </w:rPr>
            <w:t>24</w:t>
          </w:r>
        </w:p>
        <w:p>
          <w:pPr>
            <w:tabs>
              <w:tab w:val="right" w:leader="dot" w:pos="9350"/>
            </w:tabs>
            <w:spacing w:after="40"/>
            <w:ind w:left="240"/>
          </w:pPr>
          <w:r>
            <w:rPr>
              <w:rFonts w:ascii="Calibri" w:cs="Calibri" w:eastAsia="Calibri" w:hAnsi="Calibri"/>
              <w:sz w:val="19"/>
              <w:szCs w:val="19"/>
            </w:rPr>
            <w:t xml:space="preserve">3.3 Priorité pilote et comportement après cessation des commandes (à démontrer)</w:t>
          </w:r>
          <w:r>
            <w:tab/>
          </w:r>
          <w:r>
            <w:rPr>
              <w:sz w:val="19"/>
              <w:szCs w:val="19"/>
            </w:rPr>
            <w:t>24</w:t>
          </w:r>
        </w:p>
        <w:p>
          <w:pPr>
            <w:tabs>
              <w:tab w:val="right" w:leader="dot" w:pos="9350"/>
            </w:tabs>
            <w:spacing w:after="40"/>
          </w:pPr>
          <w:r>
            <w:rPr>
              <w:rFonts w:ascii="Calibri" w:cs="Calibri" w:eastAsia="Calibri" w:hAnsi="Calibri"/>
              <w:b/>
              <w:bCs/>
              <w:sz w:val="19"/>
              <w:szCs w:val="19"/>
            </w:rPr>
            <w:t xml:space="preserve">4. Concept d'opérations (CONOPS)</w:t>
          </w:r>
          <w:r>
            <w:tab/>
          </w:r>
          <w:r>
            <w:rPr>
              <w:sz w:val="19"/>
              <w:szCs w:val="19"/>
            </w:rPr>
            <w:t>25</w:t>
          </w:r>
        </w:p>
        <w:p>
          <w:pPr>
            <w:tabs>
              <w:tab w:val="right" w:leader="dot" w:pos="9350"/>
            </w:tabs>
            <w:spacing w:after="40"/>
            <w:ind w:left="240"/>
          </w:pPr>
          <w:r>
            <w:rPr>
              <w:rFonts w:ascii="Calibri" w:cs="Calibri" w:eastAsia="Calibri" w:hAnsi="Calibri"/>
              <w:sz w:val="19"/>
              <w:szCs w:val="19"/>
            </w:rPr>
            <w:t xml:space="preserve">4.0 Fiche opérationnelle (résumé de la demande) — NC-001</w:t>
          </w:r>
          <w:r>
            <w:tab/>
          </w:r>
          <w:r>
            <w:rPr>
              <w:sz w:val="19"/>
              <w:szCs w:val="19"/>
            </w:rPr>
            <w:t>25</w:t>
          </w:r>
        </w:p>
        <w:p>
          <w:pPr>
            <w:tabs>
              <w:tab w:val="right" w:leader="dot" w:pos="9350"/>
            </w:tabs>
            <w:spacing w:after="40"/>
            <w:ind w:left="240"/>
          </w:pPr>
          <w:r>
            <w:rPr>
              <w:rFonts w:ascii="Calibri" w:cs="Calibri" w:eastAsia="Calibri" w:hAnsi="Calibri"/>
              <w:sz w:val="19"/>
              <w:szCs w:val="19"/>
            </w:rPr>
            <w:t xml:space="preserve">4.0.2 Paramètres détaillés de l'opération</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4.0.3 Site réel de l'opération (renseigné 2026-07-20)</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4.0.4 Espace aérien — à confirmer par NAV Drone (POINT CRITIQUE)</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4.1 Délimitation du terrain par l'application Web (géorepérage)</w:t>
          </w:r>
          <w:r>
            <w:tab/>
          </w:r>
          <w:r>
            <w:rPr>
              <w:sz w:val="19"/>
              <w:szCs w:val="19"/>
            </w:rPr>
            <w:t>28</w:t>
          </w:r>
        </w:p>
        <w:p>
          <w:pPr>
            <w:tabs>
              <w:tab w:val="right" w:leader="dot" w:pos="9350"/>
            </w:tabs>
            <w:spacing w:after="40"/>
            <w:ind w:left="240"/>
          </w:pPr>
          <w:r>
            <w:rPr>
              <w:rFonts w:ascii="Calibri" w:cs="Calibri" w:eastAsia="Calibri" w:hAnsi="Calibri"/>
              <w:sz w:val="19"/>
              <w:szCs w:val="19"/>
            </w:rPr>
            <w:t xml:space="preserve">4.2 Confinement physique quantifié (buffer de contingence)</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4.2.1 Calcul chiffré du buffer de contingence (2026-07-20)</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4.2.2 Buffer à vMax verrouillé 2 m/s (renforcement 2026-07-20)</w:t>
          </w:r>
          <w:r>
            <w:tab/>
          </w:r>
          <w:r>
            <w:rPr>
              <w:sz w:val="19"/>
              <w:szCs w:val="19"/>
            </w:rPr>
            <w:t>31</w:t>
          </w:r>
        </w:p>
        <w:p>
          <w:pPr>
            <w:tabs>
              <w:tab w:val="right" w:leader="dot" w:pos="9350"/>
            </w:tabs>
            <w:spacing w:after="40"/>
            <w:ind w:left="240"/>
          </w:pPr>
          <w:r>
            <w:rPr>
              <w:rFonts w:ascii="Calibri" w:cs="Calibri" w:eastAsia="Calibri" w:hAnsi="Calibri"/>
              <w:sz w:val="19"/>
              <w:szCs w:val="19"/>
            </w:rPr>
            <w:t xml:space="preserve">4.2.3 Plan à l'échelle du confinement (schéma 2026-07-20)</w:t>
          </w:r>
          <w:r>
            <w:tab/>
          </w:r>
          <w:r>
            <w:rPr>
              <w:sz w:val="19"/>
              <w:szCs w:val="19"/>
            </w:rPr>
            <w:t>31</w:t>
          </w:r>
        </w:p>
        <w:p>
          <w:pPr>
            <w:tabs>
              <w:tab w:val="right" w:leader="dot" w:pos="9350"/>
            </w:tabs>
            <w:spacing w:after="40"/>
            <w:ind w:left="240"/>
          </w:pPr>
          <w:r>
            <w:rPr>
              <w:rFonts w:ascii="Calibri" w:cs="Calibri" w:eastAsia="Calibri" w:hAnsi="Calibri"/>
              <w:sz w:val="19"/>
              <w:szCs w:val="19"/>
            </w:rPr>
            <w:t xml:space="preserve">4.2.4 Analyse géométrique du site vs buffer (2026-07-20)</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4.3 Espace aérien et site</w:t>
          </w:r>
          <w:r>
            <w:tab/>
          </w:r>
          <w:r>
            <w:rPr>
              <w:sz w:val="19"/>
              <w:szCs w:val="19"/>
            </w:rPr>
            <w:t>33</w:t>
          </w:r>
        </w:p>
        <w:p>
          <w:pPr>
            <w:tabs>
              <w:tab w:val="right" w:leader="dot" w:pos="9350"/>
            </w:tabs>
            <w:spacing w:after="40"/>
            <w:ind w:left="240"/>
          </w:pPr>
          <w:r>
            <w:rPr>
              <w:rFonts w:ascii="Calibri" w:cs="Calibri" w:eastAsia="Calibri" w:hAnsi="Calibri"/>
              <w:sz w:val="19"/>
              <w:szCs w:val="19"/>
            </w:rPr>
            <w:t xml:space="preserve">4.4 Spécification de la porte de validation pré-vol (go/no-go)</w:t>
          </w:r>
          <w:r>
            <w:tab/>
          </w:r>
          <w:r>
            <w:rPr>
              <w:sz w:val="19"/>
              <w:szCs w:val="19"/>
            </w:rPr>
            <w:t>34</w:t>
          </w:r>
        </w:p>
        <w:p>
          <w:pPr>
            <w:tabs>
              <w:tab w:val="right" w:leader="dot" w:pos="9350"/>
            </w:tabs>
            <w:spacing w:after="40"/>
          </w:pPr>
          <w:r>
            <w:rPr>
              <w:rFonts w:ascii="Calibri" w:cs="Calibri" w:eastAsia="Calibri" w:hAnsi="Calibri"/>
              <w:b/>
              <w:bCs/>
              <w:sz w:val="19"/>
              <w:szCs w:val="19"/>
            </w:rPr>
            <w:t xml:space="preserve">5. Personnes et admissibilité du RPAS</w:t>
          </w:r>
          <w:r>
            <w:tab/>
          </w:r>
          <w:r>
            <w:rPr>
              <w:sz w:val="19"/>
              <w:szCs w:val="19"/>
            </w:rPr>
            <w:t>36</w:t>
          </w:r>
        </w:p>
        <w:p>
          <w:pPr>
            <w:tabs>
              <w:tab w:val="right" w:leader="dot" w:pos="9350"/>
            </w:tabs>
            <w:spacing w:after="40"/>
            <w:ind w:left="240"/>
          </w:pPr>
          <w:r>
            <w:rPr>
              <w:rFonts w:ascii="Calibri" w:cs="Calibri" w:eastAsia="Calibri" w:hAnsi="Calibri"/>
              <w:sz w:val="19"/>
              <w:szCs w:val="19"/>
            </w:rPr>
            <w:t xml:space="preserve">5.1 Classification des personnes (hypothèse conservatrice)</w:t>
          </w:r>
          <w:r>
            <w:tab/>
          </w:r>
          <w:r>
            <w:rPr>
              <w:sz w:val="19"/>
              <w:szCs w:val="19"/>
            </w:rPr>
            <w:t>36</w:t>
          </w:r>
        </w:p>
        <w:p>
          <w:pPr>
            <w:tabs>
              <w:tab w:val="right" w:leader="dot" w:pos="9350"/>
            </w:tabs>
            <w:spacing w:after="40"/>
            <w:ind w:left="240"/>
          </w:pPr>
          <w:r>
            <w:rPr>
              <w:rFonts w:ascii="Calibri" w:cs="Calibri" w:eastAsia="Calibri" w:hAnsi="Calibri"/>
              <w:sz w:val="19"/>
              <w:szCs w:val="19"/>
            </w:rPr>
            <w:t xml:space="preserve">5.2 Sources de position et critères RTK (par donnée)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5.3 Admissibilité du drone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5.4 Rôles, responsabilités et autorités (NC-004)</w:t>
          </w:r>
          <w:r>
            <w:tab/>
          </w:r>
          <w:r>
            <w:rPr>
              <w:sz w:val="19"/>
              <w:szCs w:val="19"/>
            </w:rPr>
            <w:t>39</w:t>
          </w:r>
        </w:p>
        <w:p>
          <w:pPr>
            <w:tabs>
              <w:tab w:val="right" w:leader="dot" w:pos="9350"/>
            </w:tabs>
            <w:spacing w:after="40"/>
            <w:ind w:left="240"/>
          </w:pPr>
          <w:r>
            <w:rPr>
              <w:rFonts w:ascii="Calibri" w:cs="Calibri" w:eastAsia="Calibri" w:hAnsi="Calibri"/>
              <w:sz w:val="19"/>
              <w:szCs w:val="19"/>
            </w:rPr>
            <w:t xml:space="preserve">5.5 Suivi des autorisations (NC-006)</w:t>
          </w:r>
          <w:r>
            <w:tab/>
          </w:r>
          <w:r>
            <w:rPr>
              <w:sz w:val="19"/>
              <w:szCs w:val="19"/>
            </w:rPr>
            <w:t>39</w:t>
          </w:r>
        </w:p>
        <w:p>
          <w:pPr>
            <w:tabs>
              <w:tab w:val="right" w:leader="dot" w:pos="9350"/>
            </w:tabs>
            <w:spacing w:after="40"/>
            <w:ind w:left="240"/>
          </w:pPr>
          <w:r>
            <w:rPr>
              <w:rFonts w:ascii="Calibri" w:cs="Calibri" w:eastAsia="Calibri" w:hAnsi="Calibri"/>
              <w:sz w:val="19"/>
              <w:szCs w:val="19"/>
            </w:rPr>
            <w:t xml:space="preserve">5.6 Assurance (NC-007)</w:t>
          </w:r>
          <w:r>
            <w:tab/>
          </w:r>
          <w:r>
            <w:rPr>
              <w:sz w:val="19"/>
              <w:szCs w:val="19"/>
            </w:rPr>
            <w:t>39</w:t>
          </w:r>
        </w:p>
        <w:p>
          <w:pPr>
            <w:tabs>
              <w:tab w:val="right" w:leader="dot" w:pos="9350"/>
            </w:tabs>
            <w:spacing w:after="40"/>
          </w:pPr>
          <w:r>
            <w:rPr>
              <w:rFonts w:ascii="Calibri" w:cs="Calibri" w:eastAsia="Calibri" w:hAnsi="Calibri"/>
              <w:b/>
              <w:bCs/>
              <w:sz w:val="19"/>
              <w:szCs w:val="19"/>
            </w:rPr>
            <w:t xml:space="preserve">6. Registre des risques étendu</w:t>
          </w:r>
          <w:r>
            <w:tab/>
          </w:r>
          <w:r>
            <w:rPr>
              <w:sz w:val="19"/>
              <w:szCs w:val="19"/>
            </w:rPr>
            <w:t>41</w:t>
          </w:r>
        </w:p>
        <w:p>
          <w:pPr>
            <w:tabs>
              <w:tab w:val="right" w:leader="dot" w:pos="9350"/>
            </w:tabs>
            <w:spacing w:after="40"/>
            <w:ind w:left="240"/>
          </w:pPr>
          <w:r>
            <w:rPr>
              <w:rFonts w:ascii="Calibri" w:cs="Calibri" w:eastAsia="Calibri" w:hAnsi="Calibri"/>
              <w:sz w:val="19"/>
              <w:szCs w:val="19"/>
            </w:rPr>
            <w:t xml:space="preserve">6.0 Matrice d'acceptation et démarche ALARP</w:t>
          </w:r>
          <w:r>
            <w:tab/>
          </w:r>
          <w:r>
            <w:rPr>
              <w:sz w:val="19"/>
              <w:szCs w:val="19"/>
            </w:rPr>
            <w:t>41</w:t>
          </w:r>
        </w:p>
        <w:p>
          <w:pPr>
            <w:tabs>
              <w:tab w:val="right" w:leader="dot" w:pos="9350"/>
            </w:tabs>
            <w:spacing w:after="40"/>
            <w:ind w:left="240"/>
          </w:pPr>
          <w:r>
            <w:rPr>
              <w:rFonts w:ascii="Calibri" w:cs="Calibri" w:eastAsia="Calibri" w:hAnsi="Calibri"/>
              <w:sz w:val="19"/>
              <w:szCs w:val="19"/>
            </w:rPr>
            <w:t xml:space="preserve">6.4 Fiches ALARP des dangers ÉLEVÉS (finalisation 2026-07-20)</w:t>
          </w:r>
          <w:r>
            <w:tab/>
          </w:r>
          <w:r>
            <w:rPr>
              <w:sz w:val="19"/>
              <w:szCs w:val="19"/>
            </w:rPr>
            <w:t>45</w:t>
          </w:r>
        </w:p>
        <w:p>
          <w:pPr>
            <w:tabs>
              <w:tab w:val="right" w:leader="dot" w:pos="9350"/>
            </w:tabs>
            <w:spacing w:after="40"/>
            <w:ind w:left="240"/>
          </w:pPr>
          <w:r>
            <w:rPr>
              <w:rFonts w:ascii="Calibri" w:cs="Calibri" w:eastAsia="Calibri" w:hAnsi="Calibri"/>
              <w:sz w:val="19"/>
              <w:szCs w:val="19"/>
            </w:rPr>
            <w:t xml:space="preserve">6.5 Mini-fiches ALARP des dangers MOYENS (5-9)</w:t>
          </w:r>
          <w:r>
            <w:tab/>
          </w:r>
          <w:r>
            <w:rPr>
              <w:sz w:val="19"/>
              <w:szCs w:val="19"/>
            </w:rPr>
            <w:t>46</w:t>
          </w:r>
        </w:p>
        <w:p>
          <w:pPr>
            <w:tabs>
              <w:tab w:val="right" w:leader="dot" w:pos="9350"/>
            </w:tabs>
            <w:spacing w:after="40"/>
          </w:pPr>
          <w:r>
            <w:rPr>
              <w:rFonts w:ascii="Calibri" w:cs="Calibri" w:eastAsia="Calibri" w:hAnsi="Calibri"/>
              <w:b/>
              <w:bCs/>
              <w:sz w:val="19"/>
              <w:szCs w:val="19"/>
            </w:rPr>
            <w:t xml:space="preserve">6bis. Analyse des modes de défaillance (FMEA) étendue</w:t>
          </w:r>
          <w:r>
            <w:tab/>
          </w:r>
          <w:r>
            <w:rPr>
              <w:sz w:val="19"/>
              <w:szCs w:val="19"/>
            </w:rPr>
            <w:t>47</w:t>
          </w:r>
        </w:p>
        <w:p>
          <w:pPr>
            <w:tabs>
              <w:tab w:val="right" w:leader="dot" w:pos="9350"/>
            </w:tabs>
            <w:spacing w:after="40"/>
          </w:pPr>
          <w:r>
            <w:rPr>
              <w:rFonts w:ascii="Calibri" w:cs="Calibri" w:eastAsia="Calibri" w:hAnsi="Calibri"/>
              <w:b/>
              <w:bCs/>
              <w:sz w:val="19"/>
              <w:szCs w:val="19"/>
            </w:rPr>
            <w:t xml:space="preserve">6ter. Matrice de traçabilité</w:t>
          </w:r>
          <w:r>
            <w:tab/>
          </w:r>
          <w:r>
            <w:rPr>
              <w:sz w:val="19"/>
              <w:szCs w:val="19"/>
            </w:rPr>
            <w:t>49</w:t>
          </w:r>
        </w:p>
        <w:p>
          <w:pPr>
            <w:tabs>
              <w:tab w:val="right" w:leader="dot" w:pos="9350"/>
            </w:tabs>
            <w:spacing w:after="40"/>
          </w:pPr>
          <w:r>
            <w:rPr>
              <w:rFonts w:ascii="Calibri" w:cs="Calibri" w:eastAsia="Calibri" w:hAnsi="Calibri"/>
              <w:b/>
              <w:bCs/>
              <w:sz w:val="19"/>
              <w:szCs w:val="19"/>
            </w:rPr>
            <w:t xml:space="preserve">7. Preuves logicielles (résultats réels)</w:t>
          </w:r>
          <w:r>
            <w:tab/>
          </w:r>
          <w:r>
            <w:rPr>
              <w:sz w:val="19"/>
              <w:szCs w:val="19"/>
            </w:rPr>
            <w:t>51</w:t>
          </w:r>
        </w:p>
        <w:p>
          <w:pPr>
            <w:tabs>
              <w:tab w:val="right" w:leader="dot" w:pos="9350"/>
            </w:tabs>
            <w:spacing w:after="40"/>
            <w:ind w:left="240"/>
          </w:pPr>
          <w:r>
            <w:rPr>
              <w:rFonts w:ascii="Calibri" w:cs="Calibri" w:eastAsia="Calibri" w:hAnsi="Calibri"/>
              <w:sz w:val="19"/>
              <w:szCs w:val="19"/>
            </w:rPr>
            <w:t xml:space="preserve">7.1 Manifeste des preuves logicielles (exécution réelle)</w:t>
          </w:r>
          <w:r>
            <w:tab/>
          </w:r>
          <w:r>
            <w:rPr>
              <w:sz w:val="19"/>
              <w:szCs w:val="19"/>
            </w:rPr>
            <w:t>51</w:t>
          </w:r>
        </w:p>
        <w:p>
          <w:pPr>
            <w:tabs>
              <w:tab w:val="right" w:leader="dot" w:pos="9350"/>
            </w:tabs>
            <w:spacing w:after="40"/>
            <w:ind w:left="240"/>
          </w:pPr>
          <w:r>
            <w:rPr>
              <w:rFonts w:ascii="Calibri" w:cs="Calibri" w:eastAsia="Calibri" w:hAnsi="Calibri"/>
              <w:sz w:val="19"/>
              <w:szCs w:val="19"/>
            </w:rPr>
            <w:t xml:space="preserve">7.2 Preuves de sécurité clés</w:t>
          </w:r>
          <w:r>
            <w:tab/>
          </w:r>
          <w:r>
            <w:rPr>
              <w:sz w:val="19"/>
              <w:szCs w:val="19"/>
            </w:rPr>
            <w:t>52</w:t>
          </w:r>
        </w:p>
        <w:p>
          <w:pPr>
            <w:tabs>
              <w:tab w:val="right" w:leader="dot" w:pos="9350"/>
            </w:tabs>
            <w:spacing w:after="40"/>
            <w:ind w:left="240"/>
          </w:pPr>
          <w:r>
            <w:rPr>
              <w:rFonts w:ascii="Calibri" w:cs="Calibri" w:eastAsia="Calibri" w:hAnsi="Calibri"/>
              <w:sz w:val="19"/>
              <w:szCs w:val="19"/>
            </w:rPr>
            <w:t xml:space="preserve">7.3 Couverture de code (JaCoCo)</w:t>
          </w:r>
          <w:r>
            <w:tab/>
          </w:r>
          <w:r>
            <w:rPr>
              <w:sz w:val="19"/>
              <w:szCs w:val="19"/>
            </w:rPr>
            <w:t>52</w:t>
          </w:r>
        </w:p>
        <w:p>
          <w:pPr>
            <w:tabs>
              <w:tab w:val="right" w:leader="dot" w:pos="9350"/>
            </w:tabs>
            <w:spacing w:after="40"/>
            <w:ind w:left="240"/>
          </w:pPr>
          <w:r>
            <w:rPr>
              <w:rFonts w:ascii="Calibri" w:cs="Calibri" w:eastAsia="Calibri" w:hAnsi="Calibri"/>
              <w:sz w:val="19"/>
              <w:szCs w:val="19"/>
            </w:rPr>
            <w:t xml:space="preserve">7.4 Sécurité de l'information (état actuel)</w:t>
          </w:r>
          <w:r>
            <w:tab/>
          </w:r>
          <w:r>
            <w:rPr>
              <w:sz w:val="19"/>
              <w:szCs w:val="19"/>
            </w:rPr>
            <w:t>53</w:t>
          </w:r>
        </w:p>
        <w:p>
          <w:pPr>
            <w:tabs>
              <w:tab w:val="right" w:leader="dot" w:pos="9350"/>
            </w:tabs>
            <w:spacing w:after="40"/>
          </w:pPr>
          <w:r>
            <w:rPr>
              <w:rFonts w:ascii="Calibri" w:cs="Calibri" w:eastAsia="Calibri" w:hAnsi="Calibri"/>
              <w:b/>
              <w:bCs/>
              <w:sz w:val="19"/>
              <w:szCs w:val="19"/>
            </w:rPr>
            <w:t xml:space="preserve">8. Plan d'essais terrain et mesures quantitatives</w:t>
          </w:r>
          <w:r>
            <w:tab/>
          </w:r>
          <w:r>
            <w:rPr>
              <w:sz w:val="19"/>
              <w:szCs w:val="19"/>
            </w:rPr>
            <w:t>54</w:t>
          </w:r>
        </w:p>
        <w:p>
          <w:pPr>
            <w:tabs>
              <w:tab w:val="right" w:leader="dot" w:pos="9350"/>
            </w:tabs>
            <w:spacing w:after="40"/>
            <w:ind w:left="240"/>
          </w:pPr>
          <w:r>
            <w:rPr>
              <w:rFonts w:ascii="Calibri" w:cs="Calibri" w:eastAsia="Calibri" w:hAnsi="Calibri"/>
              <w:sz w:val="19"/>
              <w:szCs w:val="19"/>
            </w:rPr>
            <w:t xml:space="preserve">8.1 Essais matériels et terrain (critères réussite/échec)</w:t>
          </w:r>
          <w:r>
            <w:tab/>
          </w:r>
          <w:r>
            <w:rPr>
              <w:sz w:val="19"/>
              <w:szCs w:val="19"/>
            </w:rPr>
            <w:t>54</w:t>
          </w:r>
        </w:p>
        <w:p>
          <w:pPr>
            <w:tabs>
              <w:tab w:val="right" w:leader="dot" w:pos="9350"/>
            </w:tabs>
            <w:spacing w:after="40"/>
            <w:ind w:left="240"/>
          </w:pPr>
          <w:r>
            <w:rPr>
              <w:rFonts w:ascii="Calibri" w:cs="Calibri" w:eastAsia="Calibri" w:hAnsi="Calibri"/>
              <w:sz w:val="19"/>
              <w:szCs w:val="19"/>
            </w:rPr>
            <w:t xml:space="preserve">8.2 Mesures quantitatives à réaliser (gabarit)</w:t>
          </w:r>
          <w:r>
            <w:tab/>
          </w:r>
          <w:r>
            <w:rPr>
              <w:sz w:val="19"/>
              <w:szCs w:val="19"/>
            </w:rPr>
            <w:t>54</w:t>
          </w:r>
        </w:p>
        <w:p>
          <w:pPr>
            <w:tabs>
              <w:tab w:val="right" w:leader="dot" w:pos="9350"/>
            </w:tabs>
            <w:spacing w:after="40"/>
          </w:pPr>
          <w:r>
            <w:rPr>
              <w:rFonts w:ascii="Calibri" w:cs="Calibri" w:eastAsia="Calibri" w:hAnsi="Calibri"/>
              <w:b/>
              <w:bCs/>
              <w:sz w:val="19"/>
              <w:szCs w:val="19"/>
            </w:rPr>
            <w:t xml:space="preserve">9. Procédures opérationnelles</w:t>
          </w:r>
          <w:r>
            <w:tab/>
          </w:r>
          <w:r>
            <w:rPr>
              <w:sz w:val="19"/>
              <w:szCs w:val="19"/>
            </w:rPr>
            <w:t>56</w:t>
          </w:r>
        </w:p>
        <w:p>
          <w:pPr>
            <w:tabs>
              <w:tab w:val="right" w:leader="dot" w:pos="9350"/>
            </w:tabs>
            <w:spacing w:after="40"/>
            <w:ind w:left="240"/>
          </w:pPr>
          <w:r>
            <w:rPr>
              <w:rFonts w:ascii="Calibri" w:cs="Calibri" w:eastAsia="Calibri" w:hAnsi="Calibri"/>
              <w:sz w:val="19"/>
              <w:szCs w:val="19"/>
            </w:rPr>
            <w:t xml:space="preserve">9.1 Avant le vol</w:t>
          </w:r>
          <w:r>
            <w:tab/>
          </w:r>
          <w:r>
            <w:rPr>
              <w:sz w:val="19"/>
              <w:szCs w:val="19"/>
            </w:rPr>
            <w:t>56</w:t>
          </w:r>
        </w:p>
        <w:p>
          <w:pPr>
            <w:tabs>
              <w:tab w:val="right" w:leader="dot" w:pos="9350"/>
            </w:tabs>
            <w:spacing w:after="40"/>
            <w:ind w:left="240"/>
          </w:pPr>
          <w:r>
            <w:rPr>
              <w:rFonts w:ascii="Calibri" w:cs="Calibri" w:eastAsia="Calibri" w:hAnsi="Calibri"/>
              <w:sz w:val="19"/>
              <w:szCs w:val="19"/>
            </w:rPr>
            <w:t xml:space="preserve">9.2 Pendant le vol</w:t>
          </w:r>
          <w:r>
            <w:tab/>
          </w:r>
          <w:r>
            <w:rPr>
              <w:sz w:val="19"/>
              <w:szCs w:val="19"/>
            </w:rPr>
            <w:t>56</w:t>
          </w:r>
        </w:p>
        <w:p>
          <w:pPr>
            <w:tabs>
              <w:tab w:val="right" w:leader="dot" w:pos="9350"/>
            </w:tabs>
            <w:spacing w:after="40"/>
            <w:ind w:left="240"/>
          </w:pPr>
          <w:r>
            <w:rPr>
              <w:rFonts w:ascii="Calibri" w:cs="Calibri" w:eastAsia="Calibri" w:hAnsi="Calibri"/>
              <w:sz w:val="19"/>
              <w:szCs w:val="19"/>
            </w:rPr>
            <w:t xml:space="preserve">9.3 Procédures d'urgence (étapes numérotées)</w:t>
          </w:r>
          <w:r>
            <w:tab/>
          </w:r>
          <w:r>
            <w:rPr>
              <w:sz w:val="19"/>
              <w:szCs w:val="19"/>
            </w:rPr>
            <w:t>56</w:t>
          </w:r>
        </w:p>
        <w:p>
          <w:pPr>
            <w:tabs>
              <w:tab w:val="right" w:leader="dot" w:pos="9350"/>
            </w:tabs>
            <w:spacing w:after="40"/>
          </w:pPr>
          <w:r>
            <w:rPr>
              <w:rFonts w:ascii="Calibri" w:cs="Calibri" w:eastAsia="Calibri" w:hAnsi="Calibri"/>
              <w:b/>
              <w:bCs/>
              <w:sz w:val="19"/>
              <w:szCs w:val="19"/>
            </w:rPr>
            <w:t xml:space="preserve">10. Pièces administratives (check-list de dépôt)</w:t>
          </w:r>
          <w:r>
            <w:tab/>
          </w:r>
          <w:r>
            <w:rPr>
              <w:sz w:val="19"/>
              <w:szCs w:val="19"/>
            </w:rPr>
            <w:t>59</w:t>
          </w:r>
        </w:p>
        <w:p>
          <w:pPr>
            <w:tabs>
              <w:tab w:val="right" w:leader="dot" w:pos="9350"/>
            </w:tabs>
            <w:spacing w:after="40"/>
            <w:ind w:left="240"/>
          </w:pPr>
          <w:r>
            <w:rPr>
              <w:rFonts w:ascii="Calibri" w:cs="Calibri" w:eastAsia="Calibri" w:hAnsi="Calibri"/>
              <w:sz w:val="19"/>
              <w:szCs w:val="19"/>
            </w:rPr>
            <w:t xml:space="preserve">10.1 Deux rapports distincts</w:t>
          </w:r>
          <w:r>
            <w:tab/>
          </w:r>
          <w:r>
            <w:rPr>
              <w:sz w:val="19"/>
              <w:szCs w:val="19"/>
            </w:rPr>
            <w:t>60</w:t>
          </w:r>
        </w:p>
        <w:p>
          <w:pPr>
            <w:tabs>
              <w:tab w:val="right" w:leader="dot" w:pos="9350"/>
            </w:tabs>
            <w:spacing w:after="40"/>
          </w:pPr>
          <w:r>
            <w:rPr>
              <w:rFonts w:ascii="Calibri" w:cs="Calibri" w:eastAsia="Calibri" w:hAnsi="Calibri"/>
              <w:b/>
              <w:bCs/>
              <w:sz w:val="19"/>
              <w:szCs w:val="19"/>
            </w:rPr>
            <w:t xml:space="preserve">10bis. Glossaire et terminologie (NC-008)</w:t>
          </w:r>
          <w:r>
            <w:tab/>
          </w:r>
          <w:r>
            <w:rPr>
              <w:sz w:val="19"/>
              <w:szCs w:val="19"/>
            </w:rPr>
            <w:t>61</w:t>
          </w:r>
        </w:p>
        <w:p>
          <w:pPr>
            <w:tabs>
              <w:tab w:val="right" w:leader="dot" w:pos="9350"/>
            </w:tabs>
            <w:spacing w:after="40"/>
          </w:pPr>
          <w:r>
            <w:rPr>
              <w:rFonts w:ascii="Calibri" w:cs="Calibri" w:eastAsia="Calibri" w:hAnsi="Calibri"/>
              <w:b/>
              <w:bCs/>
              <w:sz w:val="19"/>
              <w:szCs w:val="19"/>
            </w:rPr>
            <w:t xml:space="preserve">10ter. Architecture technique — jonctions réelles (Tome 2)</w:t>
          </w:r>
          <w:r>
            <w:tab/>
          </w:r>
          <w:r>
            <w:rPr>
              <w:sz w:val="19"/>
              <w:szCs w:val="19"/>
            </w:rPr>
            <w:t>62</w:t>
          </w:r>
        </w:p>
        <w:p>
          <w:pPr>
            <w:tabs>
              <w:tab w:val="right" w:leader="dot" w:pos="9350"/>
            </w:tabs>
            <w:spacing w:after="40"/>
            <w:ind w:left="240"/>
          </w:pPr>
          <w:r>
            <w:rPr>
              <w:rFonts w:ascii="Calibri" w:cs="Calibri" w:eastAsia="Calibri" w:hAnsi="Calibri"/>
              <w:sz w:val="19"/>
              <w:szCs w:val="19"/>
            </w:rPr>
            <w:t xml:space="preserve">10ter.1 État des jonctions (NC-T2)</w:t>
          </w:r>
          <w:r>
            <w:tab/>
          </w:r>
          <w:r>
            <w:rPr>
              <w:sz w:val="19"/>
              <w:szCs w:val="19"/>
            </w:rPr>
            <w:t>62</w:t>
          </w:r>
        </w:p>
        <w:p>
          <w:pPr>
            <w:tabs>
              <w:tab w:val="right" w:leader="dot" w:pos="9350"/>
            </w:tabs>
            <w:spacing w:after="40"/>
            <w:ind w:left="240"/>
          </w:pPr>
          <w:r>
            <w:rPr>
              <w:rFonts w:ascii="Calibri" w:cs="Calibri" w:eastAsia="Calibri" w:hAnsi="Calibri"/>
              <w:sz w:val="19"/>
              <w:szCs w:val="19"/>
            </w:rPr>
            <w:t xml:space="preserve">10ter.2 Contrats de données (entrées critiques)</w:t>
          </w:r>
          <w:r>
            <w:tab/>
          </w:r>
          <w:r>
            <w:rPr>
              <w:sz w:val="19"/>
              <w:szCs w:val="19"/>
            </w:rPr>
            <w:t>63</w:t>
          </w:r>
        </w:p>
        <w:p>
          <w:pPr>
            <w:tabs>
              <w:tab w:val="right" w:leader="dot" w:pos="9350"/>
            </w:tabs>
            <w:spacing w:after="40"/>
            <w:ind w:left="240"/>
          </w:pPr>
          <w:r>
            <w:rPr>
              <w:rFonts w:ascii="Calibri" w:cs="Calibri" w:eastAsia="Calibri" w:hAnsi="Calibri"/>
              <w:sz w:val="19"/>
              <w:szCs w:val="19"/>
            </w:rPr>
            <w:t xml:space="preserve">10ter.3 Source unique de configuration (SafetyLimits) — NC-T2-019/022</w:t>
          </w:r>
          <w:r>
            <w:tab/>
          </w:r>
          <w:r>
            <w:rPr>
              <w:sz w:val="19"/>
              <w:szCs w:val="19"/>
            </w:rPr>
            <w:t>64</w:t>
          </w:r>
        </w:p>
        <w:p>
          <w:pPr>
            <w:tabs>
              <w:tab w:val="right" w:leader="dot" w:pos="9350"/>
            </w:tabs>
            <w:spacing w:after="40"/>
            <w:ind w:left="240"/>
          </w:pPr>
          <w:r>
            <w:rPr>
              <w:rFonts w:ascii="Calibri" w:cs="Calibri" w:eastAsia="Calibri" w:hAnsi="Calibri"/>
              <w:sz w:val="19"/>
              <w:szCs w:val="19"/>
            </w:rPr>
            <w:t xml:space="preserve">10ter.4 Chaîne image et intégration JNI — NC-T2-008</w:t>
          </w:r>
          <w:r>
            <w:tab/>
          </w:r>
          <w:r>
            <w:rPr>
              <w:sz w:val="19"/>
              <w:szCs w:val="19"/>
            </w:rPr>
            <w:t>64</w:t>
          </w:r>
        </w:p>
        <w:p>
          <w:pPr>
            <w:tabs>
              <w:tab w:val="right" w:leader="dot" w:pos="9350"/>
            </w:tabs>
            <w:spacing w:after="40"/>
            <w:ind w:left="240"/>
          </w:pPr>
          <w:r>
            <w:rPr>
              <w:rFonts w:ascii="Calibri" w:cs="Calibri" w:eastAsia="Calibri" w:hAnsi="Calibri"/>
              <w:sz w:val="19"/>
              <w:szCs w:val="19"/>
            </w:rPr>
            <w:t xml:space="preserve">10ter.4.1 Ce que garantissent les tests de sécurité (explication)</w:t>
          </w:r>
          <w:r>
            <w:tab/>
          </w:r>
          <w:r>
            <w:rPr>
              <w:sz w:val="19"/>
              <w:szCs w:val="19"/>
            </w:rPr>
            <w:t>65</w:t>
          </w:r>
        </w:p>
        <w:p>
          <w:pPr>
            <w:tabs>
              <w:tab w:val="right" w:leader="dot" w:pos="9350"/>
            </w:tabs>
            <w:spacing w:after="40"/>
            <w:ind w:left="240"/>
          </w:pPr>
          <w:r>
            <w:rPr>
              <w:rFonts w:ascii="Calibri" w:cs="Calibri" w:eastAsia="Calibri" w:hAnsi="Calibri"/>
              <w:sz w:val="19"/>
              <w:szCs w:val="19"/>
            </w:rPr>
            <w:t xml:space="preserve">10ter.5 Fréquence, threads et watchdog — NC-T2-005/014</w:t>
          </w:r>
          <w:r>
            <w:tab/>
          </w:r>
          <w:r>
            <w:rPr>
              <w:sz w:val="19"/>
              <w:szCs w:val="19"/>
            </w:rPr>
            <w:t>66</w:t>
          </w:r>
        </w:p>
        <w:p>
          <w:pPr>
            <w:tabs>
              <w:tab w:val="right" w:leader="dot" w:pos="9350"/>
            </w:tabs>
            <w:spacing w:after="40"/>
            <w:ind w:left="240"/>
          </w:pPr>
          <w:r>
            <w:rPr>
              <w:rFonts w:ascii="Calibri" w:cs="Calibri" w:eastAsia="Calibri" w:hAnsi="Calibri"/>
              <w:sz w:val="19"/>
              <w:szCs w:val="19"/>
            </w:rPr>
            <w:t xml:space="preserve">10ter.6 Identifiants d'exigences (extrait) — NC-T2-021</w:t>
          </w:r>
          <w:r>
            <w:tab/>
          </w:r>
          <w:r>
            <w:rPr>
              <w:sz w:val="19"/>
              <w:szCs w:val="19"/>
            </w:rPr>
            <w:t>67</w:t>
          </w:r>
        </w:p>
        <w:p>
          <w:pPr>
            <w:tabs>
              <w:tab w:val="right" w:leader="dot" w:pos="9350"/>
            </w:tabs>
            <w:spacing w:after="40"/>
          </w:pPr>
          <w:r>
            <w:rPr>
              <w:rFonts w:ascii="Calibri" w:cs="Calibri" w:eastAsia="Calibri" w:hAnsi="Calibri"/>
              <w:b/>
              <w:bCs/>
              <w:sz w:val="19"/>
              <w:szCs w:val="19"/>
            </w:rPr>
            <w:t xml:space="preserve">10quater. Safety Case formel (Tome 3)</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S.1 Objectif de sécurité G0 — statut OUVERT (NC-T3-001)</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S.2 Arbre GSN et statut par nœud (NC-T3-002)</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S.3 Hypothèses converties en exigences (NC-T3-003)</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S.4 Échelles de cotation P et G (NC-T3-004)</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S.5 Règle de crédit des barrières (NC-T3-006)</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S.6 Modèle de fiche ALARP par danger (NC-T3-005)</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S.7 Analyse des causes communes (NC-T3-010)</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S.8 Arbres de défaillance (fault trees) — NC-T3-012</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S.9 Identifiants stables et gouvernance (NC-T3-014/016/023/022)</w:t>
          </w:r>
          <w:r>
            <w:tab/>
          </w:r>
          <w:r>
            <w:rPr>
              <w:sz w:val="19"/>
              <w:szCs w:val="19"/>
            </w:rPr>
            <w:t>71</w:t>
          </w:r>
        </w:p>
        <w:p>
          <w:pPr>
            <w:tabs>
              <w:tab w:val="right" w:leader="dot" w:pos="9350"/>
            </w:tabs>
            <w:spacing w:after="40"/>
          </w:pPr>
          <w:r>
            <w:rPr>
              <w:rFonts w:ascii="Calibri" w:cs="Calibri" w:eastAsia="Calibri" w:hAnsi="Calibri"/>
              <w:b/>
              <w:bCs/>
              <w:sz w:val="19"/>
              <w:szCs w:val="19"/>
            </w:rPr>
            <w:t xml:space="preserve">11. Références réglementaires</w:t>
          </w:r>
          <w:r>
            <w:tab/>
          </w:r>
          <w:r>
            <w:rPr>
              <w:sz w:val="19"/>
              <w:szCs w:val="19"/>
            </w:rPr>
            <w:t>72</w:t>
          </w:r>
        </w:p>
        <w:p>
          <w:pPr>
            <w:tabs>
              <w:tab w:val="right" w:leader="dot" w:pos="9350"/>
            </w:tabs>
            <w:spacing w:after="40"/>
          </w:pPr>
          <w:r>
            <w:rPr>
              <w:rFonts w:ascii="Calibri" w:cs="Calibri" w:eastAsia="Calibri" w:hAnsi="Calibri"/>
              <w:b/>
              <w:bCs/>
              <w:sz w:val="19"/>
              <w:szCs w:val="19"/>
            </w:rPr>
            <w:t xml:space="preserve">12. Feuille de route de validation (blocages)</w:t>
          </w:r>
          <w:r>
            <w:tab/>
          </w:r>
          <w:r>
            <w:rPr>
              <w:sz w:val="19"/>
              <w:szCs w:val="19"/>
            </w:rPr>
            <w:t>73</w:t>
          </w:r>
        </w:p>
        <w:p>
          <w:pPr>
            <w:tabs>
              <w:tab w:val="right" w:leader="dot" w:pos="9350"/>
            </w:tabs>
            <w:spacing w:after="40"/>
            <w:ind w:left="240"/>
          </w:pPr>
          <w:r>
            <w:rPr>
              <w:rFonts w:ascii="Calibri" w:cs="Calibri" w:eastAsia="Calibri" w:hAnsi="Calibri"/>
              <w:sz w:val="19"/>
              <w:szCs w:val="19"/>
            </w:rPr>
            <w:t xml:space="preserve">12.1 Blocages AVANT toute émission réelle 2D</w:t>
          </w:r>
          <w:r>
            <w:tab/>
          </w:r>
          <w:r>
            <w:rPr>
              <w:sz w:val="19"/>
              <w:szCs w:val="19"/>
            </w:rPr>
            <w:t>73</w:t>
          </w:r>
        </w:p>
        <w:p>
          <w:pPr>
            <w:tabs>
              <w:tab w:val="right" w:leader="dot" w:pos="9350"/>
            </w:tabs>
            <w:spacing w:after="40"/>
            <w:ind w:left="240"/>
          </w:pPr>
          <w:r>
            <w:rPr>
              <w:rFonts w:ascii="Calibri" w:cs="Calibri" w:eastAsia="Calibri" w:hAnsi="Calibri"/>
              <w:sz w:val="19"/>
              <w:szCs w:val="19"/>
            </w:rPr>
            <w:t xml:space="preserve">12.2 Blocages AVANT dépôt du SFOC</w:t>
          </w:r>
          <w:r>
            <w:tab/>
          </w:r>
          <w:r>
            <w:rPr>
              <w:sz w:val="19"/>
              <w:szCs w:val="19"/>
            </w:rPr>
            <w:t>73</w:t>
          </w:r>
        </w:p>
        <w:p>
          <w:pPr>
            <w:tabs>
              <w:tab w:val="right" w:leader="dot" w:pos="9350"/>
            </w:tabs>
            <w:spacing w:after="40"/>
          </w:pPr>
          <w:r>
            <w:rPr>
              <w:rFonts w:ascii="Calibri" w:cs="Calibri" w:eastAsia="Calibri" w:hAnsi="Calibri"/>
              <w:b/>
              <w:bCs/>
              <w:sz w:val="19"/>
              <w:szCs w:val="19"/>
            </w:rPr>
            <w:t xml:space="preserve">13. Retours d'expérience administratifs — non crédités comme exigences réglementaires</w:t>
          </w:r>
          <w:r>
            <w:tab/>
          </w:r>
          <w:r>
            <w:rPr>
              <w:sz w:val="19"/>
              <w:szCs w:val="19"/>
            </w:rPr>
            <w:t>75</w:t>
          </w:r>
        </w:p>
        <w:p>
          <w:pPr>
            <w:tabs>
              <w:tab w:val="right" w:leader="dot" w:pos="9350"/>
            </w:tabs>
            <w:spacing w:after="40"/>
            <w:ind w:left="240"/>
          </w:pPr>
          <w:r>
            <w:rPr>
              <w:rFonts w:ascii="Calibri" w:cs="Calibri" w:eastAsia="Calibri" w:hAnsi="Calibri"/>
              <w:sz w:val="19"/>
              <w:szCs w:val="19"/>
            </w:rPr>
            <w:t xml:space="preserve">13.1 Tableau de statuts</w:t>
          </w:r>
          <w:r>
            <w:tab/>
          </w:r>
          <w:r>
            <w:rPr>
              <w:sz w:val="19"/>
              <w:szCs w:val="19"/>
            </w:rPr>
            <w:t>75</w:t>
          </w:r>
        </w:p>
        <w:p>
          <w:pPr>
            <w:tabs>
              <w:tab w:val="right" w:leader="dot" w:pos="9350"/>
            </w:tabs>
            <w:spacing w:after="40"/>
            <w:ind w:left="240"/>
          </w:pPr>
          <w:r>
            <w:rPr>
              <w:rFonts w:ascii="Calibri" w:cs="Calibri" w:eastAsia="Calibri" w:hAnsi="Calibri"/>
              <w:sz w:val="19"/>
              <w:szCs w:val="19"/>
            </w:rPr>
            <w:t xml:space="preserve">13.2 Formulations prudentes retenues</w:t>
          </w:r>
          <w:r>
            <w:tab/>
          </w:r>
          <w:r>
            <w:rPr>
              <w:sz w:val="19"/>
              <w:szCs w:val="19"/>
            </w:rPr>
            <w:t>76</w:t>
          </w:r>
        </w:p>
        <w:p>
          <w:pPr>
            <w:tabs>
              <w:tab w:val="right" w:leader="dot" w:pos="9350"/>
            </w:tabs>
            <w:spacing w:after="40"/>
            <w:ind w:left="240"/>
          </w:pPr>
          <w:r>
            <w:rPr>
              <w:rFonts w:ascii="Calibri" w:cs="Calibri" w:eastAsia="Calibri" w:hAnsi="Calibri"/>
              <w:sz w:val="19"/>
              <w:szCs w:val="19"/>
            </w:rPr>
            <w:t xml:space="preserve">13.3 Point de vérité — origine du besoin de Safety Case</w:t>
          </w:r>
          <w:r>
            <w:tab/>
          </w:r>
          <w:r>
            <w:rPr>
              <w:sz w:val="19"/>
              <w:szCs w:val="19"/>
            </w:rPr>
            <w:t>76</w:t>
          </w:r>
        </w:p>
        <w:p>
          <w:pPr>
            <w:tabs>
              <w:tab w:val="right" w:leader="dot" w:pos="9350"/>
            </w:tabs>
            <w:spacing w:after="40"/>
          </w:pPr>
          <w:r>
            <w:rPr>
              <w:rFonts w:ascii="Calibri" w:cs="Calibri" w:eastAsia="Calibri" w:hAnsi="Calibri"/>
              <w:b/>
              <w:bCs/>
              <w:sz w:val="19"/>
              <w:szCs w:val="19"/>
            </w:rPr>
            <w:t xml:space="preserve">Approbation finale du dossier</w:t>
          </w:r>
          <w:r>
            <w:tab/>
          </w:r>
          <w:r>
            <w:rPr>
              <w:sz w:val="19"/>
              <w:szCs w:val="19"/>
            </w:rPr>
            <w:t>78</w:t>
          </w:r>
        </w:p>
        <w:p>
          <w:pPr>
            <w:tabs>
              <w:tab w:val="right" w:leader="dot" w:pos="9350"/>
            </w:tabs>
            <w:spacing w:after="40"/>
            <w:ind w:left="240"/>
          </w:pPr>
          <w:r>
            <w:rPr>
              <w:rFonts w:ascii="Calibri" w:cs="Calibri" w:eastAsia="Calibri" w:hAnsi="Calibri"/>
              <w:sz w:val="19"/>
              <w:szCs w:val="19"/>
            </w:rPr>
            <w:t xml:space="preserve">Annexe — Rapport JUnit historique (SUPERSEDED : sous-ensemble soccer 26 classes / 278 cas ; décompte à jour au</w:t>
          </w:r>
          <w:r>
            <w:tab/>
          </w:r>
          <w:r>
            <w:rPr>
              <w:sz w:val="19"/>
              <w:szCs w:val="19"/>
            </w:rPr>
            <w:t>78</w:t>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logique testé jusqu'à l'arbitre ; le verrou logiciel obstacleGateAllows a été RETIRÉ de la baseline altitude en v51 (preuve d'indépendance, 512 combinaisons) — l'émission RÉELLE n'est toutefois PAS démontrée sur l'aéronef (SOCCER_2D_REAL_ENABLED=false ; E-03 requis)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696 cas de test automatisés (le 278 est un rapport JUnit historique, superseded — voir manifeste §7), 0 échec, dont DEUX preuves exhaustives de l'arbitre, chacune sur 512 combinaisons (2⁹) : chemin HORIZONTAL (9 conditions, un seul cas autorise) et baseline ALTITUDE (8 conditions applicables, indépendance du bit gate prouvée bit à bit).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l'événement est annoncé au public ; le périmètre officiel de l'événement sera cartographié. Le scénario SFOC événement annoncé (RAC partie IX, microdrones inclus depuis 2025-04-01, pour un vol à moins de 30 m des limites de l'événement) est retenu PROVISOIREMENT ; son applicabilité sera confirmée lorsque la distance minimale entre le volume de vol et les limites de l'événement aura été établie.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§4.2.</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§5.3.</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OFFICIEL de demande de SFOC-RPAS lié depuis la page TC « Événement annoncé » — numéro et révision À VÉRIFIER le jour du téléchargement —,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+ 696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696 cas de test automatisés (couverture 86% instr / 71,6% branches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(§6.4) ET MOYENS (§6.5)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(§4.2.3 : zones, buffer, pilote/observateur) ; RESTE : déterminer OFFICIELLEMENT la classe d'espace aérien et les exigences ATS/NAV Drone applicables ; obtenir toute permission générée lorsqu'elle est requise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(§4.2.2 ; hypothèses non démontrées : décélération, latence, persistance, reprise, dérive) + plan à l'échelle (§4.2.3) ; + analyse géométrique du site (§4.2.4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NEUF procédures d'urgence numérotées (§9.3.1 à §9.3.9 : intrusion, perte RC, anomalie logiciel, météo, arrêt d'urgence, perte vidéo, batterie, perte GPS, perte VLOS), complétées par la section Autorité et communications (§9.3.10) ; fiche exercice préparée + responsables nommés (§9.3.10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 pesée officielle (si &lt; 250 g → certificat et immatriculation S/O ; si ≥ 250 g → documents applicables) ; AVANT dépôt : analyse d'espace aérien ; APRÈS délivrance du SFOC et avant chaque opération : opération NAV Drone + RPAS Operation Summary accepté ; retours de permissions signés ; attestation d'assurance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(§4.2.1/§4.2.2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 DE SÉPARATION DÉFINIE — géométrie réelle NON encore démontrée (§4.2.4 : dépistage latéral ≥ 16,2 m + plan à l'échelle §4.2.3)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(§6.4) + dangers MOYENS (§6.5)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§5.2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l'application force la commande à une valeur neutre / bloque son émission — le comportement physique résultant est à caractériser par E-03 avant d'être qualifié de hover).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conditions d'armement — en DEUX preuves : chemin horizontal (9 conditions) et baseline altitude (8 conditions applicables, gate hors périmètre) — tandis que la priorité pilote et l'urgence sont vérifiées séparément et testées à part (voir §7). La preuve « 512 » concerne UNIQUEMENT l'arbitre (FlightCommandArbiter). Le double verrou 2D (Emission2DGuard) est testé par ses propres cas dédiés (26 tests directs dans l'exécution actuelle, dont la preuve d'indépendance du bit gate ; l'extrait historique en annexe montrait l'ancien état de 13),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la baseline altitude seule, cette condition est RETIRÉE du chemin d'émission depuis la v51 (l'arbitre l'ignore ; preuve d'indépendance sur 512 combinaisons) et demeure NON CRÉDITÉE comme barrière d'évitement. Sur le chemin HORIZONTAL (rail/2D réel, hors périmètre de la demande), le drapeau reste une condition dure, à false (fail-closed) tant qu'une fonction d'évitement n'est pas définie, documentée et démontrée — capteur, portée, angles morts, conditions de lumière, latence, comportement si indisponible). Le confinement repose donc sur le géorepérage + buffer (§4.2)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restreint à l'ALTITUDE AUTOMATISÉE (SoccerDirector → contrôleur d'altitude → Emission2DGuard → arbitre). Le décalage latéral proposé par SoccerDirector reste en MIROIR/JOURNAL — jamais émis (roll/pitch/yaw = 0 reconstruits). Le mode rail est une capacité distincte de l'application,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logiciel réel — exécuté et testé jusqu'à l'arbitre ; l'émission matérielle demeure NON démontrée —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(à corriger ; ne réduit pas la criticité).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les sites, dates, heures, buts, volumes et analyses couverts doivent être INCLUS DANS LA DEMANDE INITIALE et dans le certificat délivré, ou faire l'objet d'une modification / nouvelle autorisation AVANT leur ajout (AC 903-002).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4.0.2 Paramètres détaillés de l'opération</w:t>
      </w:r>
    </w:p>
    <w:p>
      <w:pPr>
        <w:pStyle w:val="Heading2"/>
        <w:spacing w:after="100" w:before="200"/>
      </w:pPr>
      <w:r>
        <w:rPr>
          <w:rFonts w:ascii="Calibri" w:cs="Calibri" w:eastAsia="Calibri" w:hAnsi="Calibri"/>
          <w:b/>
          <w:bCs/>
          <w:color w:val="1F3864"/>
        </w:rPr>
        <w:t xml:space="preserve">4.0.3 Site réel de l'opération (renseigné 2026-07-20)</w:t>
      </w:r>
    </w:p>
    <w:p>
      <w:pPr>
        <w:spacing w:after="100" w:line="276"/>
      </w:pPr>
      <w:r>
        <w:rPr>
          <w:rFonts w:ascii="Calibri" w:cs="Calibri" w:eastAsia="Calibri" w:hAnsi="Calibri"/>
          <w:sz w:val="21"/>
          <w:szCs w:val="21"/>
        </w:rPr>
        <w:t xml:space="preserve">Site retenu (données réelles, remplacent les À CONFIRMER PAR L'EXPLOITANT : du §4.0 et §4.0.2)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Modes de suivi de l'APPLICATION : deux modes sélectionnables dans le menu SOCCER (RAIL — le drone reste sur un rail latéral ; 2D TERRAIN — le drone se place en retrait de l'action). PÉRIMÈTRE DE LA DEMANDE : altitude automatisée SEULE ; les déplacements horizontaux automatisés (rail ET retrait 2D) sont VERROUILLÉS pendant les opérations SFOC (SOCCER_RAIL_REAL_ENABLED=false ; roll/pitch/yaw reconstruits à 0 au point d'émission). Le profil de rail de l'outil de préparation (orientation gauche→droite, altitude 25 m, vitesse 2,0 m/s, position sûre 0,5) documente une capacité FUTURE, non demandée ici. Position initiale : le drone est amené MANUELLEMENT par le pilote à sa position de retrait, puis l'altitude automatisée est armée.</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4.0.4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PRÉSUMÉ en espace aérien contrôlé — classe À DÉTERMINER OFFICIELLEMENT au point et aux altitudes de l'opération (proximité de l'aéroport Montréal–Trudeau / CYUL et de l'aéroport métropolitain / CYHU, densité urbaine, héliports hospitaliers dont le CHUM). La proximité de CYUL/CYHU, des héliports et la densité urbaine ne suffisent PAS à établir juridiquement la classe : À DÉTERMINER OFFICIELLEMENT (NAV Drone — outil officiel de planification et de demande de permission — ET par les publications aéronautiques applicables — cartes VFR, Supplément de vol – Canada, Manuel des espaces aériens désignés ; les NOTAM sont vérifiés par les sources aéronautiques officielles). L'opération sera créée dans NAV Drone sous catégorie SFOC APRÈS la délivrance du SFOC ; toute permission générée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Identifier TOUS les héliports certifiés figurant dans le CFS (Supplément de vol – Canada) et leurs circuits, notamment les héliports hospitaliers (CHUM). Si l'opération se trouve à moins de 1,9 km d'un héliport certifié, documenter la procédure applicable, les permissions et les conditions du SFOC ; ne PAS présumer qu'une distance seule règle le risque de rencontre.</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l'analyse d'espace aérien, la méthode d'obtention des permissions et les informations requises ne sont pas jointes, la demande SFOC n'est pas complète. Après délivrance du SFOC, les permissions NAV Drone applicables devront être obtenues avant l'exécution : l'opération n'est pas EXÉCUTABLE sans elles (condition de VOL, non de dépôt).</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Position PRÉVUE : à côté du terrain, survol de personnes INTERDIT — séparation à confirmer par le relevé et le plan final ; volume de vol séparé du public et du terrain par des marges (voir §4.2)</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(scénario dimensionnant)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Objectif ≥ 30 m ; à DÉMONTRER par le calcul de confinement §4.2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15–35 m AU-DESSUS DE L'ALTITUDE DE RÉFÉRENCE DU DÉCOLLAGE (KeyAltitude = altitude RELATIVE au point de décollage, PAS l'AGL terrain). La hauteur AGL réelle sur l'ensemble du volume sera obtenue par relevé du terrain et vérifiée avant l'opération ; deux variables distinctes sont tenues : altitude_relative_takeoff_m et height_agl_estimated_m. Plafond logiciel 35 m ; plafond réglementaire 122 m à démontrer en AGL réel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 QUALIFICATION DU FONDEMENT (critère officiel TC) : le périmètre réel de l'événement sera cartographié ; la distance minimale entre toute position du RPAS et la limite de ce périmètre sera calculée. Si l'opération se déroule à moins de 30 m de cette limite, le SFOC-RPAS pour événement annoncé est requis. Si la séparation demeure d'au moins 30 m, l'applicabilité de ce fondement sera réévaluée selon les règles et conditions opérationnelles restantes. Le scénario CONSERVATEUR (SFOC demandé) est retenu tant que le périmètre n'est pas cartographié. Le plan devra distinguer : périmètre officiel de l'événement, distance du volume de vol à ce périmètre, limite du terrain sportif, limites du public et des accès, distance aux personnes (la limite d'événement n'est ni la ligne de touche, ni le joueur le plus proche, ni les gradins).</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§4.2.</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§4.2.</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4.2.1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dépassement maximal crédible avant arrêt. Il se calcule comme la somme des distances parcourues durant chaque latence, plus le freinage et une marge. Les paramètres proviennent du code réel (Phase3Activity.kt) ; TOUS les termes non mesurés du calcul demeurent PROVISOIRES (freinage, latences, position, vent, erreur cartographique, persistance de commande, reprise pilote) tant qu'ils ne sont pas mesurés.</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 2,0 s (RTK_AGE_MAX_S) ; au-delà, la commande automatisée est neutralisée/bloquée (réaction physique à caractériser, E-03).</w:t>
      </w:r>
    </w:p>
    <w:p>
      <w:pPr>
        <w:spacing w:after="100" w:line="276"/>
      </w:pPr>
      <w:r>
        <w:rPr>
          <w:rFonts w:ascii="Calibri" w:cs="Calibri" w:eastAsia="Calibri" w:hAnsi="Calibri"/>
          <w:sz w:val="21"/>
          <w:szCs w:val="21"/>
        </w:rPr>
        <w:t xml:space="preserve">Chaîne de distance (scénario de calcul PROVISOIRE,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additionnelle FORFAITAIRE = 5,00 m — PROVISOIRE, à remplacer par des termes mesurés distincts : erreur GNSS horizontale, délai de mise à jour de position, dérive au vent, erreur cartographique, tolérance de géorepérage, imprécision de la limite réelle du site, incertitude statistique des essais</w:t>
      </w:r>
    </w:p>
    <w:p>
      <w:pPr>
        <w:spacing w:after="100" w:line="276"/>
      </w:pPr>
      <w:r>
        <w:rPr>
          <w:rFonts w:ascii="Calibri" w:cs="Calibri" w:eastAsia="Calibri" w:hAnsi="Calibri"/>
          <w:b/>
          <w:bCs/>
          <w:sz w:val="21"/>
          <w:szCs w:val="21"/>
        </w:rPr>
        <w:t xml:space="preserve">BUFFER TOTAL (somme brute des délais, scénario provisoire) ≈ 28,7 m à 4 m/s. Conséquence : pour viser ≥ 30 m réels au non-impliqué le plus proche dans ce scénario, la distance nominale de vol devrait être ≥ ~59 m — irréaliste sur un terrain. Le facteur DOMINANT est la vitesse (le freinage varie en v²). MÉTHODE CIBLE (v51, à appliquer avec les mesures E-03/E-12) : la somme brute suppose que TOUS les délais s'enchaînent intégralement — ce qui n'est pas nécessairement le cas — et pourrait aussi OMETTRE une persistance Virtual Stick révélée par E-03. Le buffer final sera le MAXIMUM CRÉDIBLE parmi des scénarios de défaillance séparés, chacun évalué comme d_excursion = d_avant_détection + d_persistance + d_réponse + d_arrêt + d_environnement : (1) détection YOLO périmée ; (2) position drone périmée ; (3) commande persistante après gel ; (4) reprise pilote ; (5) perte de liaison ; (6) dérive au vent ; (7) erreur de position ; (8) combinaison de causes communes crédibles — avec incertitude statistique. La somme brute actuelle est conservée comme scénario ENVELOPPE PROVISOIRE en attendant les mesures.</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PORTÉE : la vitesse horizontale ne concerne que les modes horizontaux FUTURS (hors demande) et le scénario enveloppe d'une vitesse horizontale présente au moment d'un gel/d'une reprise ; la baseline demandée n'automatise AUCUN mouvement horizontal. RECOMMANDATION DE CONCEPTION (modes futurs)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hypothèses de calcul PROVISOIRES, non des valeurs démontrées ; aucune qualification de majorant avant les essais.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par scénarios de défaillance (voir méthode ci-dessous).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borne à mesurer)</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‹e_pos› m — selon §5.2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4.2.2 Buffer à vMax verrouillé 2 m/s (renforcement 2026-07-20)</w:t>
      </w:r>
    </w:p>
    <w:p>
      <w:pPr>
        <w:spacing w:after="80" w:line="272"/>
      </w:pPr>
      <w:r>
        <w:rPr>
          <w:rFonts w:ascii="Calibri" w:cs="Calibri" w:eastAsia="Calibri" w:hAnsi="Calibri"/>
          <w:sz w:val="21"/>
          <w:szCs w:val="21"/>
        </w:rPr>
        <w:t xml:space="preserve">Ce calcul fournit une VALEUR DE CONCEPTION PROVISOIRE du buffer (non démontrée, non qualifiée de majorant avant les mesures E-03/E-12/freinage/latence/position/vent),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Le vol soccer est limité à 2 m/s par verrouillage logiciel (SafetyLimits). Aucune marge de contrôle ni aucun freinage supérieur n'est présumé de ce seul fait : toutes les performances réelles restent à mesurer.</w:t>
      </w:r>
    </w:p>
    <w:p>
      <w:pPr>
        <w:spacing w:after="80" w:line="272"/>
      </w:pPr>
      <w:r>
        <w:rPr>
          <w:rFonts w:ascii="Calibri" w:cs="Calibri" w:eastAsia="Calibri" w:hAnsi="Calibri"/>
          <w:sz w:val="21"/>
          <w:szCs w:val="21"/>
        </w:rPr>
        <w:t xml:space="preserve">Chaîne de distance à 2 m/s (hypothèse de calcul PROVISOIRE : a = 1,0 m/s², non démontrée)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hypothèse provisoire non démontrée)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forfaitaire = 5,00 m — PROVISOIRE, à décomposer en termes mesurés distincts (voir §4.2.1)</w:t>
      </w:r>
    </w:p>
    <w:p>
      <w:pPr>
        <w:spacing w:after="80" w:line="272"/>
      </w:pPr>
      <w:r>
        <w:rPr>
          <w:rFonts w:ascii="Calibri" w:cs="Calibri" w:eastAsia="Calibri" w:hAnsi="Calibri"/>
          <w:b/>
          <w:bCs/>
          <w:sz w:val="21"/>
          <w:szCs w:val="21"/>
        </w:rPr>
        <w:t xml:space="preserve">BUFFER PROVISOIRE CALCULÉ ≈ 16,2 m à 2 m/s, avec les hypothèses de travail ci-dessus (non démontrées).</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en vol peut CONFIRMER, RÉDUIRE ou AUGMENTER ce buffer (une commande persistante, une perte de position, un vent défavorable ou une reprise plus lente l'AUGMENTERAIENT).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(hypothèse basse provisoire)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(valeur NON démontrée pour ce drone) → buffer 14,7 m</w:t>
      </w:r>
    </w:p>
    <w:p>
      <w:pPr>
        <w:spacing w:after="80" w:line="272"/>
      </w:pPr>
      <w:r>
        <w:rPr>
          <w:rFonts w:ascii="Calibri" w:cs="Calibri" w:eastAsia="Calibri" w:hAnsi="Calibri"/>
          <w:b/>
          <w:bCs/>
          <w:sz w:val="21"/>
          <w:szCs w:val="21"/>
        </w:rPr>
        <w:t xml:space="preserve">CONCLUSION : le buffer de 16,2 m constitue une VALEUR DE CONCEPTION PROVISOIRE obtenue avec des hypothèses de travail. Il n'est ni démontré, ni qualifié de robuste, ni reconnu comme majorant opérationnel. Sa valeur finale dépend notamment d'E-03, d'E-12, du freinage réel, des latences, de la précision de position, du vent et de la configuration Virtual Stick. Le buffer (excursion après défaillance) NE DOIT PAS être confondu avec la distance minimale visée (30 m) : si l'objectif interne est de conserver 30 m APRÈS une excursion de 16,2 m, la trajectoire NOMINALE doit être planifiée à distance supérieure (≈ 46 m), pas à 16,2 m. La mesure en vol peut CONFIRMER, RÉDUIRE ou AUGMENTER le buffer ; aucune direction n'est présumée avant les mesures.</w:t>
      </w:r>
    </w:p>
    <w:p>
      <w:pPr>
        <w:pStyle w:val="Heading2"/>
        <w:spacing w:after="100" w:before="200"/>
      </w:pPr>
      <w:r>
        <w:rPr>
          <w:rFonts w:ascii="Calibri" w:cs="Calibri" w:eastAsia="Calibri" w:hAnsi="Calibri"/>
          <w:b/>
          <w:bCs/>
          <w:color w:val="1F3864"/>
        </w:rPr>
        <w:t xml:space="preserve">4.2.3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§4.2.2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§4.2.2, désormais représentée sur le schéma ; à ajuster au relevé réel)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EXIGENCES DU PLAN FINAL (relevé géoréférencé) : coordonnées des sommets ; périmètre officiel de l'événement ; limites du terrain ; position des joueurs la plus défavorable ; spectateurs, gradins et bancs ; allées et entrées publiques ; obstacles (arbres, filets, poteaux, luminaires) ; volume opérationnel ; volume de contingence ; polygone logiciel interne ; corridor d'urgence ; trajectoires de décollage et d'atterrissage ; corridor/comportement RTH ; altitude et volume en trois dimensions. La règle « au moins un côté ≥ 16,2 m » ne suffit PAS à démontrer les extrémités, le décollage, l'atterrissage, la reprise pilote et le RTH. Les distances de buffer seront VERROUILLÉES après mesure du freinage réel et du délai de reprise en vol (§4.2.1).</w:t>
      </w:r>
    </w:p>
    <w:p>
      <w:pPr>
        <w:pStyle w:val="Heading2"/>
        <w:spacing w:after="100" w:before="200"/>
      </w:pPr>
      <w:r>
        <w:rPr>
          <w:rFonts w:ascii="Calibri" w:cs="Calibri" w:eastAsia="Calibri" w:hAnsi="Calibri"/>
          <w:b/>
          <w:bCs/>
          <w:color w:val="1F3864"/>
        </w:rPr>
        <w:t xml:space="preserve">4.2.4 Analyse géométrique du site vs buffer (2026-07-20)</w:t>
      </w:r>
    </w:p>
    <w:p>
      <w:pPr>
        <w:spacing w:after="80" w:line="272"/>
      </w:pPr>
      <w:r>
        <w:rPr>
          <w:rFonts w:ascii="Calibri" w:cs="Calibri" w:eastAsia="Calibri" w:hAnsi="Calibri"/>
          <w:sz w:val="21"/>
          <w:szCs w:val="21"/>
        </w:rPr>
        <w:t xml:space="preserve">Cette analyse relie le buffer de confinement (16,2 m, §4.2.2) à la géométrie réelle du site. Cette analyse est un DÉPISTAGE LATÉRAL PRÉLIMINAIRE : la disponibilité d'au moins 16,2 m sur un côté constitue seulement une CONDITION NÉCESSAIRE de placement latéral. Elle ne suffit PAS à démontrer le confinement global (toutes les limites horizontales, extrémités, volume vertical, décollage/atterrissage, corridor d'urgence, RTH, personnes, périmètre de l'événement, excursions mesurées).</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LATÉRAL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20 m disponibles → marge +3,8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25 m disponibles → marge +8,8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30 m disponibles → marge +13,8 m → LATÉRAL POSSIBLE — analyse complète requise</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DÉPISTAGE (préliminaire) : un côté offrant ≥ 16,2 m d'espace dégagé rend le placement latéral POSSIBLE ; le volume opérationnel peut alors y être étudié (voir plan §4.2.3). Le confinement global ne peut être déclaré satisfait qu'après validation de toutes les limites horizontales, des extrémités, du volume vertical, du décollage et de l'atterrissage, du corridor d'urgence, du RTH, des personnes, du périmètre de l'événement et des excursions mesurées.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L'UN DES ÉLÉMENTS DE SITE ENCORE REQUIS (avec le plan géoréférencé, les extrémités, les obstacles, le corridor RTH, le volume vertical et le buffer mesuré) — elle ne clôt PAS à elle seule la géométrie. Le verrouillage final du buffer reste conditionné aux mesures en vol (§4.2.2).</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§5.2›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(cas le plus contraignant)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5.2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FlightControllerKey.KeyAircraftLocation3D (MSDK v5) — lat/lon WGS-84 + altitude relative au décollage ; lecture par poller applicatif</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 Hz (poller applicatif, 200 ms)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2 000 ms (RTK_AGE_MAX_S) — au-delà : blocage émission</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 (bloquant avant émission réelle)</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FlightControllerKey.KeyAltitude (MSDK v5) — altitude RELATIVE au point de décollage (PAS l'AGL terrain ; écart à caractériser en E-03)</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poussée par le SDK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à fixer (proposé 2 000 ms) — À CONFIRMER</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USAGE : CADRAGE uniquement dans la baseline altitude (suivi YOLO image) → AUCUN crédit de confinement ; SANS OBJET pour le chemin de sécurité de la baseline. Contrat complet requis SEULEMENT si un usage sécurité est introduit (RTK externe pressenti : module AndroidRtkV4 présent au code)</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§4.2.4), avec vue directe sur l'ensemble du volume opérationnel (§4.2.3). C'est cette position, combinée au géorepérage logiciel et au buffer, qui contribue au respect de la VLOS et du plan opérationnel — elle ne démontre PAS à elle seule le confinement du drone (confinement : §4.2, à démontrer). La position exacte est confirmée au repérage du site ; les seuils de confinement (buffer ≥ 16,2 m à vMax 2 m/s) sont fixés au §4.2.2.</w:t>
      </w:r>
    </w:p>
    <w:p>
      <w:pPr>
        <w:pStyle w:val="Heading2"/>
        <w:spacing w:after="100" w:before="200"/>
      </w:pPr>
      <w:r>
        <w:rPr>
          <w:rFonts w:ascii="Calibri" w:cs="Calibri" w:eastAsia="Calibri" w:hAnsi="Calibri"/>
          <w:b/>
          <w:bCs/>
          <w:color w:val="1F3864"/>
        </w:rPr>
        <w:t xml:space="preserve">5.3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Si masse opérationnelle &lt; 250 g (à confirmer par pesée) : SANS OBJET pour cette raison. Si ≥ 250 g : déterminer les déclarations applicables selon la distance réelle et le modèle — la distance ≥ 30 m n'est PAS encore démontrée et ne peut fonder l'exemption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§5.2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§5.2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§5.2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§4.2.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(§6.4) et les dangers MOYENS en mini-fiches (§6.5).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6.4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(§9.3.5).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§4.2.1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(cas le plus contraignant).</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6.5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PRÉVENTIVES : verrouillage mécanique de la batterie, inspection des contacts, état de santé, rotation, historique des cycles, seuil de tension, température, check-list pré-vol. BARRIÈRE DE CONSÉQUENCE : volume de vol et zone au sol réduisant l'exposition en cas de chute non contrôlée. AUCUN crédit failsafe n'est accordé pour une perte COMPLÈTE d'alimentation (un contrôleur sans alimentation ne peut exécuter ni RTH ni atterrissage contrôlé). Décision : le résiduel (gravité 5) N'EST PAS déclaré acceptable avant la revue spéciale et les preuves de maintenance — À JOINDRE (bloquant pour ce danger).</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696 cas de test automatisés (JVM ; l'annexe Couverture des tests décrit la suite au moment de sa rédaction — décompte à jour au manifeste §7.1), détaillés dans l'annexe « Couverture des tests logiciels » (document séparé, 2026-07-20). Les composants de sécurité critiques y figurent : Emission2DGuard (26 cas), FlightCommandArbiter (29),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26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CRÉÉE (classe+10 tests) ; migration incomplète (dupliquée dans Phase3Activity) à finaliser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Watchdog : crédit SCINDÉ (v51) en deux modes de défaillance distincts — (a) retard/ralentissement du cycle, fil encore actif : 60 → 30 (watchdog de cycle implémenté et testé) ; (b) GEL TOTAL du fil d'émission : AUCUNE réduction (reste 60) tant que le watchdog STRICTEMENT indépendant n'est pas implémenté (REQ-WDG-001) — on ne crédite pas une barrière contre un mode de défaillance qu'elle ne peut pas détecter.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(26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§9.3.5) ; E-09 (perte RC, §9.3.2) ; tests logiciels (Emission2DGuardTest 26, FlightCommandArbiterTest 29,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Manifeste des preuves logicielles (exécution réelle)</w:t>
      </w:r>
    </w:p>
    <w:p>
      <w:pPr>
        <w:spacing w:after="100" w:line="276"/>
      </w:pPr>
      <w:r>
        <w:rPr>
          <w:rFonts w:ascii="Calibri" w:cs="Calibri" w:eastAsia="Calibri" w:hAnsi="Calibri"/>
          <w:sz w:val="21"/>
          <w:szCs w:val="21"/>
        </w:rPr>
        <w:t xml:space="preserve">Exécution Gradle UNIQUE (tâche testDebugUnitTest, 71 fichiers de rapport JUnit XML dans app/build/test-results/testDebugUnitTest/) du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(toutes suites, 5 packages)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696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14,0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spacing w:before="120" w:after="120"/>
      </w:pPr>
      <w:r>
        <w:rPr>
          <w:rFonts w:ascii="Calibri" w:cs="Calibri" w:eastAsia="Calibri" w:hAnsi="Calibri"/>
          <w:sz w:val="21"/>
          <w:szCs w:val="21"/>
        </w:rPr>
        <w:t xml:space="preserve">Manifeste des suites (décompte RÉEL par paquet, extrait des 71 fichiers JUnit XML — chaque test compté une seule fois)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w="0" w:type="auto"/>
          </w:tcPr>
          <w:p>
            <w:pPr>
              <w:spacing w:after="40"/>
            </w:pPr>
            <w:r>
              <w:rPr>
                <w:rFonts w:ascii="Calibri" w:cs="Calibri" w:eastAsia="Calibri" w:hAnsi="Calibri"/>
                <w:b/>
                <w:bCs/>
                <w:sz w:val="19"/>
                <w:szCs w:val="19"/>
              </w:rPr>
              <w:t xml:space="preserve">Suite (paquet)</w:t>
            </w:r>
          </w:p>
        </w:tc>
        <w:tc>
          <w:tcPr>
            <w:tcW w:w="0" w:type="auto"/>
          </w:tcPr>
          <w:p>
            <w:pPr>
              <w:spacing w:after="40"/>
            </w:pPr>
            <w:r>
              <w:rPr>
                <w:rFonts w:ascii="Calibri" w:cs="Calibri" w:eastAsia="Calibri" w:hAnsi="Calibri"/>
                <w:b/>
                <w:bCs/>
                <w:sz w:val="19"/>
                <w:szCs w:val="19"/>
              </w:rPr>
              <w:t xml:space="preserve">Classes</w:t>
            </w:r>
          </w:p>
        </w:tc>
        <w:tc>
          <w:tcPr>
            <w:tcW w:w="0" w:type="auto"/>
          </w:tcPr>
          <w:p>
            <w:pPr>
              <w:spacing w:after="40"/>
            </w:pPr>
            <w:r>
              <w:rPr>
                <w:rFonts w:ascii="Calibri" w:cs="Calibri" w:eastAsia="Calibri" w:hAnsi="Calibri"/>
                <w:b/>
                <w:bCs/>
                <w:sz w:val="19"/>
                <w:szCs w:val="19"/>
              </w:rPr>
              <w:t xml:space="preserve">Tests</w:t>
            </w:r>
          </w:p>
        </w:tc>
        <w:tc>
          <w:tcPr>
            <w:tcW w:w="0" w:type="auto"/>
          </w:tcPr>
          <w:p>
            <w:pPr>
              <w:spacing w:after="40"/>
            </w:pPr>
            <w:r>
              <w:rPr>
                <w:rFonts w:ascii="Calibri" w:cs="Calibri" w:eastAsia="Calibri" w:hAnsi="Calibri"/>
                <w:b/>
                <w:bCs/>
                <w:sz w:val="19"/>
                <w:szCs w:val="19"/>
              </w:rPr>
              <w:t xml:space="preserve">Échecs</w:t>
            </w:r>
          </w:p>
        </w:tc>
        <w:tc>
          <w:tcPr>
            <w:tcW w:w="0" w:type="auto"/>
          </w:tcPr>
          <w:p>
            <w:pPr>
              <w:spacing w:after="40"/>
            </w:pPr>
            <w:r>
              <w:rPr>
                <w:rFonts w:ascii="Calibri" w:cs="Calibri" w:eastAsia="Calibri" w:hAnsi="Calibri"/>
                <w:b/>
                <w:bCs/>
                <w:sz w:val="19"/>
                <w:szCs w:val="19"/>
              </w:rPr>
              <w:t xml:space="preserve">Environnement</w:t>
            </w:r>
          </w:p>
        </w:tc>
      </w:tr>
      <w:tr>
        <w:tc>
          <w:tcPr>
            <w:tcW w:w="0" w:type="auto"/>
          </w:tcPr>
          <w:p>
            <w:pPr>
              <w:spacing w:after="40"/>
            </w:pPr>
            <w:r>
              <w:rPr>
                <w:rFonts w:ascii="Calibri" w:cs="Calibri" w:eastAsia="Calibri" w:hAnsi="Calibri"/>
                <w:sz w:val="19"/>
                <w:szCs w:val="19"/>
              </w:rPr>
              <w:t xml:space="preserve">ca.cineflight.stage.sport.soccer</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384</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(1 classe Robolectric : SoccerRailProfileParserTest)</w:t>
            </w:r>
          </w:p>
        </w:tc>
      </w:tr>
      <w:tr>
        <w:tc>
          <w:tcPr>
            <w:tcW w:w="0" w:type="auto"/>
          </w:tcPr>
          <w:p>
            <w:pPr>
              <w:spacing w:after="40"/>
            </w:pPr>
            <w:r>
              <w:rPr>
                <w:rFonts w:ascii="Calibri" w:cs="Calibri" w:eastAsia="Calibri" w:hAnsi="Calibri"/>
                <w:sz w:val="19"/>
                <w:szCs w:val="19"/>
              </w:rPr>
              <w:t xml:space="preserve">ca.cineflight.stage.control</w:t>
            </w:r>
          </w:p>
        </w:tc>
        <w:tc>
          <w:tcPr>
            <w:tcW w:w="0" w:type="auto"/>
          </w:tcPr>
          <w:p>
            <w:pPr>
              <w:spacing w:after="40"/>
            </w:pPr>
            <w:r>
              <w:rPr>
                <w:rFonts w:ascii="Calibri" w:cs="Calibri" w:eastAsia="Calibri" w:hAnsi="Calibri"/>
                <w:sz w:val="19"/>
                <w:szCs w:val="19"/>
              </w:rPr>
              <w:t xml:space="preserve">31</w:t>
            </w:r>
          </w:p>
        </w:tc>
        <w:tc>
          <w:tcPr>
            <w:tcW w:w="0" w:type="auto"/>
          </w:tcPr>
          <w:p>
            <w:pPr>
              <w:spacing w:after="40"/>
            </w:pPr>
            <w:r>
              <w:rPr>
                <w:rFonts w:ascii="Calibri" w:cs="Calibri" w:eastAsia="Calibri" w:hAnsi="Calibri"/>
                <w:sz w:val="19"/>
                <w:szCs w:val="19"/>
              </w:rPr>
              <w:t xml:space="preserve">261</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(6 classes Robolectric : PiloteDrone*)</w:t>
            </w:r>
          </w:p>
        </w:tc>
      </w:tr>
      <w:tr>
        <w:tc>
          <w:tcPr>
            <w:tcW w:w="0" w:type="auto"/>
          </w:tcPr>
          <w:p>
            <w:pPr>
              <w:spacing w:after="40"/>
            </w:pPr>
            <w:r>
              <w:rPr>
                <w:rFonts w:ascii="Calibri" w:cs="Calibri" w:eastAsia="Calibri" w:hAnsi="Calibri"/>
                <w:sz w:val="19"/>
                <w:szCs w:val="19"/>
              </w:rPr>
              <w:t xml:space="preserve">ca.cineflight.stage.sentinelle</w:t>
            </w:r>
          </w:p>
        </w:tc>
        <w:tc>
          <w:tcPr>
            <w:tcW w:w="0" w:type="auto"/>
          </w:tcPr>
          <w:p>
            <w:pPr>
              <w:spacing w:after="40"/>
            </w:pPr>
            <w:r>
              <w:rPr>
                <w:rFonts w:ascii="Calibri" w:cs="Calibri" w:eastAsia="Calibri" w:hAnsi="Calibri"/>
                <w:sz w:val="19"/>
                <w:szCs w:val="19"/>
              </w:rPr>
              <w:t xml:space="preserve">4</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ca.cineflight.stage.cine</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8</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ca.cineflight.stage.streaming</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9</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b/>
                <w:bCs/>
                <w:sz w:val="19"/>
                <w:szCs w:val="19"/>
              </w:rPr>
              <w:t xml:space="preserve">TOTAL (sans doublon)</w:t>
            </w:r>
          </w:p>
        </w:tc>
        <w:tc>
          <w:tcPr>
            <w:tcW w:w="0" w:type="auto"/>
          </w:tcPr>
          <w:p>
            <w:pPr>
              <w:spacing w:after="40"/>
            </w:pPr>
            <w:r>
              <w:rPr>
                <w:rFonts w:ascii="Calibri" w:cs="Calibri" w:eastAsia="Calibri" w:hAnsi="Calibri"/>
                <w:b/>
                <w:bCs/>
                <w:sz w:val="19"/>
                <w:szCs w:val="19"/>
              </w:rPr>
              <w:t xml:space="preserve">71</w:t>
            </w:r>
          </w:p>
        </w:tc>
        <w:tc>
          <w:tcPr>
            <w:tcW w:w="0" w:type="auto"/>
          </w:tcPr>
          <w:p>
            <w:pPr>
              <w:spacing w:after="40"/>
            </w:pPr>
            <w:r>
              <w:rPr>
                <w:rFonts w:ascii="Calibri" w:cs="Calibri" w:eastAsia="Calibri" w:hAnsi="Calibri"/>
                <w:b/>
                <w:bCs/>
                <w:sz w:val="19"/>
                <w:szCs w:val="19"/>
              </w:rPr>
              <w:t xml:space="preserve">696</w:t>
            </w:r>
          </w:p>
        </w:tc>
        <w:tc>
          <w:tcPr>
            <w:tcW w:w="0" w:type="auto"/>
          </w:tcPr>
          <w:p>
            <w:pPr>
              <w:spacing w:after="40"/>
            </w:pPr>
            <w:r>
              <w:rPr>
                <w:rFonts w:ascii="Calibri" w:cs="Calibri" w:eastAsia="Calibri" w:hAnsi="Calibri"/>
                <w:b/>
                <w:bCs/>
                <w:sz w:val="19"/>
                <w:szCs w:val="19"/>
              </w:rPr>
              <w:t xml:space="preserve">0</w:t>
            </w:r>
          </w:p>
        </w:tc>
        <w:tc>
          <w:tcPr>
            <w:tcW w:w="0" w:type="auto"/>
          </w:tcPr>
          <w:p>
            <w:pPr>
              <w:spacing w:after="40"/>
            </w:pPr>
            <w:r>
              <w:rPr>
                <w:rFonts w:ascii="Calibri" w:cs="Calibri" w:eastAsia="Calibri" w:hAnsi="Calibri"/>
                <w:b/>
                <w:bCs/>
                <w:sz w:val="19"/>
                <w:szCs w:val="19"/>
              </w:rPr>
              <w:t xml:space="preserve">Exécution unique testDebugUnitTest, 2026-07-20 (après retrait du gate, v51), ≈ 14,0 s</w:t>
            </w:r>
          </w:p>
        </w:tc>
      </w:tr>
    </w:tbl>
    <w:p>
      <w:pPr>
        <w:spacing w:before="120" w:after="120"/>
      </w:pPr>
      <w:r>
        <w:rPr>
          <w:rFonts w:ascii="Calibri" w:cs="Calibri" w:eastAsia="Calibri" w:hAnsi="Calibri"/>
          <w:sz w:val="21"/>
          <w:szCs w:val="21"/>
        </w:rPr>
        <w:t xml:space="preserve">LECTURE DU MANIFESTE : le total de 696 est la somme des 71 fichiers JUnit XML d'une exécution unique (aucun doublon). L'ancien total de 278 (26 classes) provient d'un rapport HISTORIQUE limité au package soccer, produit AVANT l'ajout des suites récentes ; il est SUPERSEDED et conservé en ANNEXE (« Rapport JUnit historique ») uniquement pour traçabilité — les 411 tests supplémentaires sont couverts par les mêmes rapports XML de l'exécution du 2026-07-20 (paquets control, sentinelle, cine, streaming et nouvelles suites soccer). Emission2DGuardTest compte AUJOURD'HUI 26 cas directs (13 historiques + 12 ajoutés + 1 preuve d'indépendance du gate en v51 ; aucun double comptage indirect). Les rapports BRUTS sont JOINTS au dossier : archive « Preuves_Tests_Logiciels_2026-07-20.zip » (71 rapports JUnit XML + rapport HTML Gradle + rapport JaCoCo HTML/XML). La couverture JaCoCo (86,0 % instructions / 71,6 % branches) est calculée sur les classes du package soccer à partir des données d'exécution de CETTE MÊME suite testDebugUnitTest (rapport jacocoSoccerReport).</w:t>
      </w:r>
    </w:p>
    <w:p>
      <w:pPr>
        <w:spacing w:before="120" w:after="120"/>
      </w:pPr>
      <w:r>
        <w:rPr>
          <w:rFonts w:ascii="Calibri" w:cs="Calibri" w:eastAsia="Calibri" w:hAnsi="Calibri"/>
          <w:sz w:val="21"/>
          <w:szCs w:val="21"/>
        </w:rPr>
        <w:t xml:space="preserve">LIMITES ET EXIGENCES AVANT OPÉRATION (v51) : (variante) la suite s'exécute en variante DEBUG (testDebugUnitTest) — exécuter aussi les tests de la variante RELEASE ou fournir une preuve d'équivalence ; tester l'APK RELEASE SIGNÉE (hash SHA-256 consigné) ; établir la correspondance exacte commit ↔ APK ↔ preuves (les modifications v51 doivent être COMMISES et le hash Git consigné au tableau de contrôle). (portée) La couverture chiffrée ne porte que sur le package soccer ; le package control (261 tests) contient des éléments critiques de la chaîne (mapping Virtual Stick, surveillance RC, SafetyLimits, snapshot, adaptateurs MSDK, gestion de l'arrêt) — ÉTENDRE la mesure de couverture à ces classes avant dépôt.</w:t>
      </w:r>
    </w:p>
    <w:p>
      <w:pPr>
        <w:spacing w:before="120" w:after="120"/>
      </w:pPr>
      <w:r>
        <w:rPr>
          <w:rFonts w:ascii="Calibri" w:cs="Calibri" w:eastAsia="Calibri" w:hAnsi="Calibri"/>
          <w:sz w:val="21"/>
          <w:szCs w:val="21"/>
        </w:rPr>
        <w:t xml:space="preserve">INDEX DES PREUVES JOINTES (fichier SÉPARÉ, non incorporé au présent document) : Preuves_Tests_Logiciels_2026-07-20.zip — contenu : 71 rapports JUnit XML (exécution v51 du 2026-07-20 : 696 tests, 0 échec, ≈ 14,0 s) + rapport HTML Gradle + rapport JaCoCo HTML/XML (mesure antérieure, à régénérer sur v51) ; taille : 504882 octets ; SHA-256 : 51af0ad8a21765ca617eb9e639117acad9084cee2b3bd8a7a4a73333f0f34b79 ; commit source : dfd8ce0 + modifications v51 (retrait du gate de la baseline altitude — hash Git à consigner après commit) ; type : preuves de tests unitaires JVM ; exigences couvertes : REQ-SAFE-001, REQ-CTRL-001, REQ-TIME-001, NC-T2-002/003/005 (partiel).</w:t>
      </w:r>
    </w:p>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DEUX preuves exhaustives (512 combinaisons chacune) : chemin HORIZONTAL — un seul cas (9 conditions toutes vraies) autorise la commande soccer ; baseline ALTITUDE — exactement 2 cas autorisent (8 conditions applicables vraies, bit gate 0 ou 1), la bascule du bit gate étant prouvée SANS EFFET sur chacune des 512 combinaisons. Le pilote gagne sur toutes les combinaisons ; l'urgence gagne sur tout sauf le pilote (vérifié dans les deux modes).</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7.3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Valeurs mesurées le 2026-07-20 (avant le retrait du gate, v51) — le rapport JaCoCo doit être RÉGÉNÉRÉ sur le code v51 (commande : .\gradlew jacocoSoccerReport) et les valeurs confirmées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86,0 % (mesuré)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71,6 % (mesuré)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87,0 % (mesuré)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82,9 % (mesuré)</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86,0 %, lignes 87,0 %, branches 71,6 %, méthodes 82,9 %, classes 86,0 %. Total 696 cas de test automatisés (NB : la couverture JaCoCo 86 %/71,6 % a été mesurée sur la suite au moment du rapport ; voir le manifeste des suites au §7 pour le décompte exact par environnement).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7.4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spacing w:after="120"/>
      </w:pPr>
      <w:r>
        <w:rPr>
          <w:rFonts w:ascii="Calibri" w:cs="Calibri" w:eastAsia="Calibri" w:hAnsi="Calibri"/>
          <w:sz w:val="21"/>
          <w:szCs w:val="21"/>
        </w:rPr>
        <w:t xml:space="preserve">E-03 — CARACTÉRISATION VIRTUAL STICK AU BANC (essai PRÉALABLE, à exécuter AVANT tout essai en vol). E-03 est un essai de banc/système, pas une simple mesure à ajouter lors d'un vol complet. Il doit caractériser au minimum : l'arrêt volontaire des appels Virtual Stick ; l'envoi répété de zéro ; la sortie explicite du mode Virtual Stick ; le gel du fil d'émission ; le plantage de l'application ; la fermeture forcée de l'application ; la perte de connexion MSDK ; la déconnexion de la radiocommande ; la dernière commande non nulle ; le délai jusqu'à la réaction du contrôleur de vol.</w:t>
      </w:r>
    </w:p>
    <w:p>
      <w:pPr>
        <w:spacing w:after="120"/>
      </w:pPr>
      <w:r>
        <w:rPr>
          <w:rFonts w:ascii="Calibri" w:cs="Calibri" w:eastAsia="Calibri" w:hAnsi="Calibri"/>
          <w:sz w:val="21"/>
          <w:szCs w:val="21"/>
        </w:rPr>
        <w:t xml:space="preserve">Les résultats E-03 ne valent que pour une CONFIGURATION FIGÉE : téléphone, version Android, application et hash APK, version MSDK, firmware drone, firmware radiocommande, modèle de radiocommande. Tout changement de configuration invalide les résultats et impose une re-caractérisation. CLASSIFICATION DES ESSAIS AU SOL DÉJÀ RÉALISÉS (E-01a/b, E-06, E-07, E-08, E-09) — environnement présent pendant l'essai : APK réelle OUI ; téléphone réel OUI ; radiocommande réelle OUI ; drone réel OUI ; MSDK réel OUI ; moteurs NON (coupés) ; hélices RETIRÉES ; preuve = commande reçue par le contrôleur de vol et journalisée (logs envoyerVitesses) ; mouvement physique : NON. Ces essais valident la LOGIQUE et la LIAISON, pas le comportement matériel final (essais moteurs et en vol distincts, à venir).</w:t>
      </w:r>
    </w:p>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P95 ≤ 160 ms ; P99 et MAX à borner par le buffer §4.2</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9.3.5 Arrêt d'urgence général (geste unique)</w:t>
      </w:r>
    </w:p>
    <w:p>
      <w:pPr>
        <w:spacing w:after="80" w:line="276"/>
      </w:pPr>
      <w:r>
        <w:rPr>
          <w:rFonts w:ascii="Calibri" w:cs="Calibri" w:eastAsia="Calibri" w:hAnsi="Calibri"/>
          <w:sz w:val="21"/>
          <w:szCs w:val="21"/>
        </w:rPr>
        <w:t xml:space="preserve">Barrière validée au sol le 2026-07-20 (essai E-08) : la logique applicative écarte la commande automatisée (émission neutralisée côté logiciel) ; l'efficacité et le délai de la reprise physique par le pilote restent à mesurer par E-12.</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 la demande logicielle de sortie du Virtual Stick est exécutée — son effet réel sur le système est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9.3.6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non commandé (comportement physique — hover, cessation ou autre —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9.3.7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9.3.8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l'application force la commande automatisée à une valeur neutre / bloque son émission (comportement physique à démontrer par E-03).</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L'application force la commande à une valeur neutre / bloque l'émission dès que la position se périme (comportement physique à démontrer par E-03)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9.3.9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commande une valeur neutre (comportement physique à confirmer), remonte si besoin — seulement dans un corridor prévalidé —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(§9.3.5)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9.3.10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(§9.3.10). Corridors et zones décrits sur le plan à l'échelle (§4.2.3),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officiel SFOC-RPAS (numéro/révision à vérifier au téléchargement)</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depuis la page officielle TC « Événement annoncé », remplir et signer — À FAIRE. CONSIGNER à l'annexe administrative : numéro téléchargé ‹...› ; révision ‹...› ; date de téléchargement ‹...› ; SHA-256 ‹...› ; source officielle (URL)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 (numéro à re-vérifier avant diffusion)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 : À DÉTERMINER OFFICIELLEMENT au point et aux altitudes de l'opération (secteur YUL/CYHU, héliports — la proximité seule ne l'établit pas juridiquement). AVANT DÉPÔT : analyse d'espace aérien + extrait de carte à joindre. APRÈS DÉLIVRANCE DU SFOC, avant chaque opération : opération NAV Drone (catégorie SFOC), tâches de permission satisfaites, RPAS Operation Summary accepté conservé — bloquant pour le VOL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52.0,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officiel SFOC-RPAS (révision courante vérifiée au téléchargement) + pièces, à TC.RPASCentre-CentreSATP.TC@tc.gc.ca. Deux délais à ne pas confondre : (1) délai minimal de dépôt = AU MOINS 30 jours AVANT le début de l'opération ; (2) norme de service TC = 30 jours OUVRABLES (événement annoncé standard) ou 60 jours OUVRABLES (complexité moyenne/haute),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figée (SFOC)</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RÉSOLU v51 (retrait PROPRE, pas un false→true) : condition RETIRÉE du chemin baseline altitude (paramètre horizontalMotionRequested=false ; preuve d'indépendance du bit sur 512 combinaisons ; Emission2DGuardTest 26 cas, FlightCommandArbiterTest 29 cas). Reste condition DURE sur le chemin RAIL/horizontal (false, fail-closed). Aucun crédit d'évitement d'obstacles revendiqué</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MAIS le battement et la vérification s'exécutent dans le MÊME fil : un gel de ce fil n'est pas couvert. Watchdog sur thread STRICTEMENT INDÉPENDANT = EXIGENCE BLOQUANTE (REQ-WDG-001), non une amélioration future. Contradiction à lever : l'absence de nouvelle émission ne prouve pas que le drone annule la dernière vitesse Virtual Stick (RPN 75, comportement inconnu — E-03 requis).</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DÉFINIE dans le code : FlightControllerKey.KeyAircraftLocation3D (MSDK v5). RESTENT BLOQUANTS : précision mesurée + seuil, fréquence effective, référentiel d'altitude vérifié, seuil de saut admissible, critères de rejet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MIS À JOUR v51 : la condition obstacleGateAllows a été RETIRÉE du chemin d'émission de la baseline altitude — l'arbitre l'ignore quand horizontalMotionRequested=false, et la preuve exhaustive démontre que la décision est INDÉPENDANTE de ce bit sur les 512 combinaisons (bascule du bit sans effet, combinaison par combinaison). Le champ reste transmis à false et demeure une condition DURE du chemin RAIL/horizontal. L'émission réelle reste désactivée par SOCCER_2D_REAL_ENABLED=false jusqu'à E-03.</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FlightControllerKey.KeyAltitude (MSDK v5), altitude RELATIVE au point de décollage (PAS l'AGL terrain — écart à caractériser en E-03) ; unité = m ; fréquence effective = À MESURER ; âge max = à fixer (proposé 2 000 ms) ; invalide → throttle 0. CONTRAT BLOQUANT avant émission réelle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FlightControllerKey.KeyAircraftLocation3D (MSDK v5 ; lat/lon WGS-84 ; altitude relative au décollage incluse — référentiel exact à vérifier) ; PAS le RTK du sujet ; fréquence demandée 5 Hz (effective À MESURER) ; âge max 2 000 ms (RTK_AGE_MAX_S — à justifier) ; précision À MESURER + seuil de rejet à fixer (bloquant) ; saut admissible : seuil chiffré à fixer ; réaction : blocage documenté ; horloge monotone ; preuve : test TST/POS à créer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600 ms (YOLO_FRAIS_MS, constante du code)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classe CENTRALE des seuils de sécurité (le crédit de « source unique » n'est PAS acquis tant que la migration des consommateurs n'est pas terminée — voir RESTE ci-dessous)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(BLOQUANT pour le crédit de source unique) : migration INCOMPLÈTE — les constantes demeurent dupliquées dans Phase3Activity. Aucun crédit de source unique n'est accordé avant : suppression des valeurs dupliquées ; consommation de SafetyLimits par le pré-vol, l'arbitre et tous les contrôleurs ; garde empêchant la réintroduction de seuils dupliqués ; identifiant de configuration inscrit dans les journaux.</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Toute entrée native invalide — résultat nul, longueur incohérente, coordonnées hors image, confiance non finie ou classe inconnue — produit une liste de détections vide ; onSujet(false) est alors propagé jusqu'au SafetySnapshot, la condition actionFreshAndConfident devient fausse et l'émission est bloquée. Ce comportement est FAIL-CLOSED. Il doit néanmoins être vérifié de bout en bout, de JNI jusqu'au point d'émission. AUDIT FORMEL BLOQUANT (le moteur natif, les conversions YUV, les tableaux retournés et la gestion mémoire font partie du chemin de données de sécurité) — à mener même si le signe et les barrières sont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10ter.4.1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logicielle. Il prouve que le CONTRÔLEUR produit une commande neutre ou bornée dans les conditions testées (il ne prouve PAS l'arrêt physique de l'aéronef, à démontrer au banc et en vol). Le contrôleur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696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86 % (instructions), 87 % (lignes), 71,6 % (branches).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(EXIGENCE BLOQUANTE) : </w:t>
      </w:r>
      <w:r>
        <w:rPr>
          <w:rFonts w:ascii="Calibri" w:cs="Calibri" w:eastAsia="Calibri" w:hAnsi="Calibri"/>
          <w:sz w:val="21"/>
          <w:szCs w:val="21"/>
        </w:rPr>
        <w:t xml:space="preserve">le watchdog actuel détecte certains dépassements de délai tant que son fil continue de s'exécuter. Il ne détecte PAS un gel total de ce fil et ne démontre PAS la neutralisation de la dernière commande Virtual Stick. Un mécanisme indépendant capable de désarmer le mode, neutraliser la commande et demander la sortie du Virtual Stick est requis avant toute émission réelle (NC-T2-005). Watchdog inter-thread STRICTEMENT indépendant = EXIGENCE BLOQUANTE (REQ-WDG-001).</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FONCTION DÉMONTRÉE : détection d'un cycle trop ancien (battement &gt; 500 ms → consigne forcée à zéro) tant que le fil du watchdog s'exécute. LIMITE : le battement et la vérification vivent dans le MÊME fil — un gel TOTAL de ce fil n'est PAS détecté, et rien ne démontre la neutralisation physique de la dernière commande Virtual Stick. EXIGENCE OUVERTE (REQ-WDG-001, BLOQUANTE avant toute émission réelle) : mécanisme sur thread STRICTEMENT indépendant, capable de désarmer le mode, neutraliser la commande et demander la sortie du Virtual Stick ; mesurer aussi la tenue en fréquence dans la durée (thermique Android).</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condition APPLICABLE de l'arbitre est fausse (fail-closed) : 8 conditions en baseline altitude (gate hors périmètre, v51) ; 9 sur le chemin horizontal.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 tests directs + défaut inerte (13 dans l'ancien rapport historique)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§9.3.10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(§6.4 : HAZ-44, HAZ-19, HAZ-39, HAZ-40) et pour les dangers MOYENS (§6.5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officiel SFOC-RPAS (numéro à vérifier) ; prévoir 30 OU 60 jours ouvrables selon la classification retenue par TC (événement annoncé standard : 30 j ouvrables ; complexité moyenne/haute : 60 j ouvrables), à compter d'un dossier complet et des frais requis.</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officiel SFOC-RPAS (révision courante vérifiée),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Watchdog de CYCLE — FAIT (CommandeWatchdog : force la consigne à zéro sur perte de cycle, TANT QUE son propre fil s'exécute). Il ne détecte pas un gel total de ce fil et ne démontre pas la neutralisation physique de la dernière commande Virtual Stick. Watchdog sur thread STRICTEMENT INDÉPENDANT, capable de désarmer le mode, neutraliser la commande et demander la sortie du Virtual Stick = EXIGENCE BLOQUANTE (REQ-WDG-001) avant toute émission réelle — À FAIRE.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§4.2).</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À CONFIRMER PAR L'EXPLOITANT :.</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(numéro rapporté : 26-0835E — à vérifier),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(§6.4).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v49 : la page officielle TC formule le critère notamment comme le vol À MOINS DE 30 m des limites de l'événement annoncé ; un RPAS maintenu à au moins 30 m de ces limites n'est pas nécessairement considéré comme volant « à l'événement » pour ce seul motif. Le périmètre officiel doit être cartographié et la distance calculée ; le scénario conservateur (SFOC demandé) reste retenu tant que cette démonstration n'est pas faite et confirmée par écrit par TC pour le scénario précis.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p>
      <w:pPr>
        <w:pStyle w:val="Heading1"/>
        <w:spacing w:after="140" w:before="200"/>
      </w:pPr>
      <w:r>
        <w:rPr>
          <w:rFonts w:ascii="Calibri" w:cs="Calibri" w:eastAsia="Calibri" w:hAnsi="Calibri"/>
          <w:b/>
          <w:bCs/>
          <w:color w:val="1F3864"/>
        </w:rPr>
        <w:t xml:space="preserve">Approbation finale du dossier</w:t>
      </w:r>
    </w:p>
    <w:p>
      <w:pPr>
        <w:spacing w:after="80" w:line="276"/>
      </w:pPr>
      <w:r>
        <w:rPr>
          <w:rFonts w:ascii="Calibri" w:cs="Calibri" w:eastAsia="Calibri" w:hAnsi="Calibri"/>
          <w:b/>
          <w:bCs/>
          <w:sz w:val="21"/>
          <w:szCs w:val="21"/>
        </w:rPr>
        <w:t xml:space="preserve">Par leurs signatures, les personnes attestent que le dossier a été rédigé, approuvé et revu de façon indépendante, et que les risques résiduels sont jugés acceptables pour l'opération demandée — SOUS RÉSERVE de la complétion des éléments bloquants (essais en vol, autorisation NAV Drone, pièces administratives).</w:t>
      </w:r>
    </w:p>
    <w:p>
      <w:pPr>
        <w:spacing w:after="20" w:before="120"/>
      </w:pPr>
      <w:r>
        <w:rPr>
          <w:rFonts w:ascii="Calibri" w:hAnsi="Calibri"/>
          <w:b/>
          <w:sz w:val="21"/>
          <w:color w:val="1F3864"/>
        </w:rPr>
        <w:t xml:space="preserve">Auteur</w:t>
      </w:r>
      <w:r>
        <w:rPr>
          <w:rFonts w:ascii="Calibri" w:hAnsi="Calibri"/>
          <w:i/>
          <w:sz w:val="18"/>
          <w:color w:val="666666"/>
        </w:rPr>
        <w:t xml:space="preserve">  (rédacteur du dossier)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(accepte les risques résiduels)</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(distinct de l'auteur ; se prononce sur l'acceptabilité)</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Tant que les essais (fiches d'essai en vol, Annexe B), les pièces administratives et l'analyse d'espace aérien ne sont pas complétés, ce dossier reste une ÉBAUCHE non déposable, quelles que soient les signatures. Après délivrance du SFOC, l'opération NAV Drone acceptée (RPAS Operation Summary) constitue une condition préalable au VOL, non au dépôt initial.</w:t>
      </w:r>
    </w:p>
    <w:p>
      <w:pPr>
        <w:spacing w:before="240" w:after="120"/>
      </w:pPr>
      <w:r>
        <w:rPr>
          <w:rFonts w:ascii="Calibri" w:cs="Calibri" w:eastAsia="Calibri" w:hAnsi="Calibri"/>
          <w:sz w:val="21"/>
          <w:szCs w:val="21"/>
        </w:rPr>
        <w:t xml:space="preserve"> </w:t>
      </w:r>
    </w:p>
    <w:p>
      <w:pPr>
        <w:pStyle w:val="Heading2"/>
        <w:spacing w:after="100" w:before="200"/>
      </w:pPr>
      <w:r>
        <w:rPr>
          <w:rFonts w:ascii="Calibri" w:cs="Calibri" w:eastAsia="Calibri" w:hAnsi="Calibri"/>
          <w:b/>
          <w:bCs/>
          <w:color w:val="1F3864"/>
        </w:rPr>
        <w:t xml:space="preserve">Annexe — Rapport JUnit historique (SUPERSEDED : sous-ensemble soccer 26 classes / 278 cas ; décompte à jour au §7.1)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(v52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