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53.0 — Événement annoncé (REQ-WDG-001 : watchdog indépendant implémenté et testé)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712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critiques restent OUVERTS (E-03 au banc — comportement Virtual Stick après cessation ET validation sur appareil du watchdog indépendant ; confinement non démontré) ; un seul suffit à rendre l'opération non prête.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(712 tests, 0 échec en v53).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53.0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v51/v52) + acf6312 (watchdog indépendant REQ-WDG-001, v53)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le FICHIER SÉPARÉ « Historique_Versions_CineFlight.docx » (archive de traçabilité, versions 1.0 à 51.0).</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50.0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15,2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v51 APPLIQUÉE (corrections D01-D06 ; la v51 est validée par l'audit comme VERSION MAÎTRE de prévalidation) : D01 — numéro de formulaire non figé (formulaire officiel de la page « Événement annoncé », numéro/révision à vérifier au téléchargement + fiche de consignation numéro/révision/date/SHA-256/source) ; D02 — avancement corrigé (déterminer OFFICIELLEMENT la classe d'espace aérien et les exigences ATS/NAV Drone ; permissions lorsque requises) ; D03 — « jamais au-dessus des personnes » requalifié configuration PRÉVUE, séparation à confirmer par le relevé et le plan final ; D04 — « montée logicielle » requalifiée valeur logicielle conforme au contrat de commande (mouvement physique à confirmer) ; D05 — GSN S7 : MÉTHODE DE SÉPARATION DÉFINIE, géométrie réelle non démontrée ; D06 — classification des essais au sol précisée (matrice d'environnement : chaîne réelle, moteurs coupés, hélices retirées, preuve = commande journalisée, aucun mouvement physique). BLOCAGES RESTANTS (inchangés) : E-03 au banc,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15,2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13</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16</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21</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22</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25</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25</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34</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35</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40</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46</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47</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48</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50</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54</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55</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55</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55</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57</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57</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60</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61</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62</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68</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72</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73</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74</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77</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79</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79</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712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712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72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712</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15,2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72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72</w:t>
            </w:r>
          </w:p>
        </w:tc>
        <w:tc>
          <w:tcPr>
            <w:tcW w:w="0" w:type="auto"/>
          </w:tcPr>
          <w:p>
            <w:pPr>
              <w:spacing w:after="40"/>
            </w:pPr>
            <w:r>
              <w:rPr>
                <w:rFonts w:ascii="Calibri" w:cs="Calibri" w:eastAsia="Calibri" w:hAnsi="Calibri"/>
                <w:b/>
                <w:bCs/>
                <w:sz w:val="19"/>
                <w:szCs w:val="19"/>
              </w:rPr>
              <w:t xml:space="preserve">712</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(v53 : gate retiré + watchdog indépendant), ≈ 15,2 s</w:t>
            </w:r>
          </w:p>
        </w:tc>
      </w:tr>
    </w:tbl>
    <w:p>
      <w:pPr>
        <w:spacing w:before="120" w:after="120"/>
      </w:pPr>
      <w:r>
        <w:rPr>
          <w:rFonts w:ascii="Calibri" w:cs="Calibri" w:eastAsia="Calibri" w:hAnsi="Calibri"/>
          <w:sz w:val="21"/>
          <w:szCs w:val="21"/>
        </w:rPr>
        <w:t xml:space="preserve">LECTURE DU MANIFESTE : le total de 712 est la somme des 72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(72 rapports JUnit XML + rapport HTML Gradle + rapport JaCoCo HTML/XML). La couverture JaCoCo (86,0 % instructions / 71,6 % branches) est calculée sur les classes du package soccer à partir des données d'exécution de CETTE MÊME suite testDebugUnitTest (rapport jacocoSoccerReport).</w:t>
      </w:r>
    </w:p>
    <w:p>
      <w:pPr>
        <w:spacing w:before="120" w:after="120"/>
      </w:pPr>
      <w:r>
        <w:rPr>
          <w:rFonts w:ascii="Calibri" w:cs="Calibri" w:eastAsia="Calibri" w:hAnsi="Calibri"/>
          <w:sz w:val="21"/>
          <w:szCs w:val="21"/>
        </w:rPr>
        <w:t xml:space="preserve">LIMITES ET EXIGENCES AVANT OPÉRATION (v51) : (variante) la suite s'exécute en variante DEBUG (testDebugUnitTest) — exécuter aussi les tests de la variante RELEASE ou fournir une preuve d'équivalence ; tester l'APK RELEASE SIGNÉE (hash SHA-256 consigné) ; établir la correspondance exacte commit ↔ APK ↔ preuves (les modifications v51 doivent être COMMISES et le hash Git consigné au tableau de contrôle). (portée) La couverture chiffrée ne porte que sur le package soccer ; le package control (261 tests) contient des éléments critiques de la chaîne (mapping Virtual Stick, surveillance RC, SafetyLimits, snapshot, adaptateurs MSDK, gestion de l'arrêt) — ÉTENDRE la mesure de couverture à ces classes avant dépôt.</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71 rapports JUnit XML (exécution v53 du 2026-07-20 : 712 tests, 0 échec, ≈ 15,2 s) + rapport HTML Gradle + rapport JaCoCo HTML/XML (mesure antérieure, à régénérer sur v51) ; taille : 507837 octets ; SHA-256 : 4ad24a2df677cd409ec858d0820b67e04fd644569cead50756d9a143046e3464 ; commits source : 31c7df7 (retrait gate, v51/v52) + acf6312 (watchdog indépendant, v53)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(avant le retrait du gate, v51) — le rapport JaCoCo doit être RÉGÉNÉRÉ sur le code v51 (commande : .\gradlew jacocoSoccerReport) et les valeurs confirmées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71,6 %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87,0 %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82,9 % (mesuré)</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712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53.0,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(v53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