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Calibri" w:cs="Calibri" w:eastAsia="Calibri" w:hAnsi="Calibri"/>
          <w:b/>
          <w:bCs/>
          <w:color w:val="1F3864"/>
          <w:sz w:val="44"/>
          <w:szCs w:val="44"/>
        </w:rPr>
        <w:t xml:space="preserve">CineFlight Soccer</w:t>
      </w:r>
    </w:p>
    <w:p>
      <w:pPr>
        <w:spacing w:after="40"/>
        <w:jc w:val="center"/>
      </w:pPr>
      <w:r>
        <w:rPr>
          <w:rFonts w:ascii="Calibri" w:cs="Calibri" w:eastAsia="Calibri" w:hAnsi="Calibri"/>
          <w:b/>
          <w:bCs/>
          <w:color w:val="2E4A7A"/>
          <w:sz w:val="28"/>
          <w:szCs w:val="28"/>
        </w:rPr>
        <w:t xml:space="preserve">GABARITS DE PRÉPARATION AU DÉPÔT</w:t>
      </w:r>
    </w:p>
    <w:p>
      <w:pPr>
        <w:spacing w:after="300"/>
        <w:jc w:val="center"/>
      </w:pPr>
      <w:r>
        <w:rPr>
          <w:rFonts w:ascii="Calibri" w:cs="Calibri" w:eastAsia="Calibri" w:hAnsi="Calibri"/>
          <w:i/>
          <w:iCs/>
          <w:color w:val="595959"/>
          <w:sz w:val="22"/>
          <w:szCs w:val="22"/>
        </w:rPr>
        <w:t xml:space="preserve">Phase 5 — pièces réelles à rassembler avant le dépôt du SFOC-RPAS</w:t>
      </w:r>
    </w:p>
    <w:p>
      <w:pPr>
        <w:spacing w:after="40"/>
        <w:jc w:val="center"/>
      </w:pPr>
      <w:r>
        <w:rPr>
          <w:rFonts w:ascii="Calibri" w:cs="Calibri" w:eastAsia="Calibri" w:hAnsi="Calibri"/>
          <w:color w:val="595959"/>
          <w:sz w:val="20"/>
          <w:szCs w:val="20"/>
        </w:rPr>
        <w:t xml:space="preserve">Document d'accompagnement du Dossier de sécurité v16</w:t>
      </w:r>
    </w:p>
    <w:p>
      <w:pPr>
        <w:spacing w:after="40"/>
        <w:jc w:val="center"/>
      </w:pPr>
      <w:r>
        <w:rPr>
          <w:rFonts w:ascii="Calibri" w:cs="Calibri" w:eastAsia="Calibri" w:hAnsi="Calibri"/>
          <w:sz w:val="20"/>
          <w:szCs w:val="20"/>
        </w:rPr>
        <w:t xml:space="preserve">Version 1.0 — 2026-07-20</w:t>
      </w:r>
    </w:p>
    <w:p>
      <w:pPr>
        <w:spacing w:after="60"/>
      </w:pPr>
      <w:r>
        <w:rPr>
          <w:rFonts w:ascii="Calibri" w:cs="Calibri" w:eastAsia="Calibri" w:hAnsi="Calibri"/>
        </w:rPr>
        <w:t xml:space="preserve"/>
      </w:r>
    </w:p>
    <w:p>
      <w:pPr>
        <w:spacing w:after="100" w:line="276"/>
      </w:pPr>
      <w:r>
        <w:rPr>
          <w:rFonts w:ascii="Calibri" w:cs="Calibri" w:eastAsia="Calibri" w:hAnsi="Calibri"/>
          <w:sz w:val="21"/>
          <w:szCs w:val="21"/>
        </w:rPr>
        <w:t xml:space="preserve">Ces quatre fiches sont à imprimer et à remplir avec des données RÉELLES au moment des essais et de la préparation du dossier. Chaque champ [EXEMPLE] ou vide doit être renseigné puis, une fois complété, reporté dans le Dossier de sécurité et le formulaire 26-0835E.</w:t>
      </w:r>
    </w:p>
    <w:p>
      <w:r>
        <w:br w:type="page"/>
      </w:r>
    </w:p>
    <w:p>
      <w:pPr>
        <w:pStyle w:val="Heading1"/>
        <w:spacing w:after="140" w:before="300"/>
      </w:pPr>
      <w:r>
        <w:rPr>
          <w:rFonts w:ascii="Calibri" w:cs="Calibri" w:eastAsia="Calibri" w:hAnsi="Calibri"/>
          <w:b/>
          <w:bCs/>
          <w:color w:val="1F3864"/>
        </w:rPr>
        <w:t xml:space="preserve">Fiche 1 — Pesée du drone (masse opérationnelle)</w:t>
      </w:r>
    </w:p>
    <w:p>
      <w:pPr>
        <w:spacing w:after="100" w:line="276"/>
      </w:pPr>
      <w:r>
        <w:rPr>
          <w:rFonts w:ascii="Calibri" w:cs="Calibri" w:eastAsia="Calibri" w:hAnsi="Calibri"/>
          <w:b/>
          <w:bCs/>
          <w:sz w:val="21"/>
          <w:szCs w:val="21"/>
        </w:rPr>
        <w:t xml:space="preserve">Objectif : </w:t>
      </w:r>
      <w:r>
        <w:rPr>
          <w:rFonts w:ascii="Calibri" w:cs="Calibri" w:eastAsia="Calibri" w:hAnsi="Calibri"/>
          <w:sz w:val="21"/>
          <w:szCs w:val="21"/>
        </w:rPr>
        <w:t xml:space="preserve">confirmer que le drone en configuration RÉELLE reste sous 250,0 g. À 250,0 g ou plus, le régime réglementaire change (immatriculation, certificat). Tout accessoire embarqué compte dans la masse opérationnelle.</w:t>
      </w:r>
    </w:p>
    <w:p>
      <w:pPr>
        <w:spacing w:after="100" w:line="276"/>
      </w:pPr>
      <w:r>
        <w:rPr>
          <w:rFonts w:ascii="Calibri" w:cs="Calibri" w:eastAsia="Calibri" w:hAnsi="Calibri"/>
          <w:b/>
          <w:bCs/>
          <w:sz w:val="21"/>
          <w:szCs w:val="21"/>
        </w:rPr>
        <w:t xml:space="preserve">Méthode : </w:t>
      </w:r>
      <w:r>
        <w:rPr>
          <w:rFonts w:ascii="Calibri" w:cs="Calibri" w:eastAsia="Calibri" w:hAnsi="Calibri"/>
          <w:sz w:val="21"/>
          <w:szCs w:val="21"/>
        </w:rPr>
        <w:t xml:space="preserve">balance de précision (résolution 1 g ou mieux), drone prêt au vol tel qu'utilisé le jour du match. Peser l'ensemble monté, pas les pièces séparément.</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6000"/>
        <w:gridCol w:w="1680"/>
        <w:gridCol w:w="1680"/>
      </w:tblGrid>
      <w:tr>
        <w:trPr>
          <w:tblHeader/>
        </w:trPr>
        <w:tc>
          <w:tcPr>
            <w:tcW w:type="dxa" w:w="60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Élément embarqué</w:t>
            </w:r>
          </w:p>
        </w:tc>
        <w:tc>
          <w:tcPr>
            <w:tcW w:type="dxa" w:w="168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Présent ?</w:t>
            </w:r>
          </w:p>
        </w:tc>
        <w:tc>
          <w:tcPr>
            <w:tcW w:type="dxa" w:w="168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Inclus dans la pesée</w:t>
            </w:r>
          </w:p>
        </w:tc>
      </w:tr>
      <w:tr>
        <w:tc>
          <w:tcPr>
            <w:tcW w:type="dxa" w:w="6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Drone nu (cellule + hélices)</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oui</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oui</w:t>
            </w:r>
          </w:p>
        </w:tc>
      </w:tr>
      <w:tr>
        <w:tc>
          <w:tcPr>
            <w:tcW w:type="dxa" w:w="6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Batterie utilisée (modèle : __________)</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oui</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oui</w:t>
            </w:r>
          </w:p>
        </w:tc>
      </w:tr>
      <w:tr>
        <w:tc>
          <w:tcPr>
            <w:tcW w:type="dxa" w:w="6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Carte mémoire (microSD)</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oui</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oui</w:t>
            </w:r>
          </w:p>
        </w:tc>
      </w:tr>
      <w:tr>
        <w:tc>
          <w:tcPr>
            <w:tcW w:type="dxa" w:w="6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Protections d'hélices / cage</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oui / ☐ non</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oui</w:t>
            </w:r>
          </w:p>
        </w:tc>
      </w:tr>
      <w:tr>
        <w:tc>
          <w:tcPr>
            <w:tcW w:type="dxa" w:w="6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Éclairage / strobe éventuel</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oui / ☐ non</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oui</w:t>
            </w:r>
          </w:p>
        </w:tc>
      </w:tr>
      <w:tr>
        <w:tc>
          <w:tcPr>
            <w:tcW w:type="dxa" w:w="6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Autre accessoire : __________</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oui / ☐ non</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oui</w:t>
            </w:r>
          </w:p>
        </w:tc>
      </w:tr>
      <w:tr>
        <w:tc>
          <w:tcPr>
            <w:tcW w:type="dxa" w:w="6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Toute modification : __________</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oui / ☐ non</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oui</w:t>
            </w:r>
          </w:p>
        </w:tc>
      </w:tr>
    </w:tbl>
    <w:p>
      <w:pPr>
        <w:spacing w:after="60"/>
      </w:pPr>
      <w:r>
        <w:rPr>
          <w:rFonts w:ascii="Calibri" w:cs="Calibri" w:eastAsia="Calibri" w:hAnsi="Calibri"/>
        </w:rPr>
        <w:t xml:space="preserve"/>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3600"/>
        <w:gridCol w:w="5760"/>
      </w:tblGrid>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Modèle exact du drone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[EXEMPLE] DJI Mini 4 Pro</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MASSE OPÉRATIONNELLE mesurée (g)</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Résultat</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&lt; 250,0 g (microdrone)    ☐ ≥ 250,0 g (régime différent — STOP)</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Balance utilisée (modèle / résolution)</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Date de pesée / responsable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Signature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bl>
    <w:p>
      <w:r>
        <w:br w:type="page"/>
      </w:r>
    </w:p>
    <w:p>
      <w:pPr>
        <w:pStyle w:val="Heading1"/>
        <w:spacing w:after="140" w:before="300"/>
      </w:pPr>
      <w:r>
        <w:rPr>
          <w:rFonts w:ascii="Calibri" w:cs="Calibri" w:eastAsia="Calibri" w:hAnsi="Calibri"/>
          <w:b/>
          <w:bCs/>
          <w:color w:val="1F3864"/>
        </w:rPr>
        <w:t xml:space="preserve">Fiche 2 — Site et espace aérien</w:t>
      </w:r>
    </w:p>
    <w:p>
      <w:pPr>
        <w:spacing w:after="100" w:line="276"/>
      </w:pPr>
      <w:r>
        <w:rPr>
          <w:rFonts w:ascii="Calibri" w:cs="Calibri" w:eastAsia="Calibri" w:hAnsi="Calibri"/>
          <w:b/>
          <w:bCs/>
          <w:sz w:val="21"/>
          <w:szCs w:val="21"/>
        </w:rPr>
        <w:t xml:space="preserve">Objectif : </w:t>
      </w:r>
      <w:r>
        <w:rPr>
          <w:rFonts w:ascii="Calibri" w:cs="Calibri" w:eastAsia="Calibri" w:hAnsi="Calibri"/>
          <w:sz w:val="21"/>
          <w:szCs w:val="21"/>
        </w:rPr>
        <w:t xml:space="preserve">décrire le site réel de l'opération avec assez de précision pour l'analyse de confinement et la demande. À compléter par un plan à l'échelle (annexe).</w:t>
      </w:r>
    </w:p>
    <w:p>
      <w:pPr>
        <w:pStyle w:val="Heading2"/>
        <w:spacing w:after="100" w:before="200"/>
      </w:pPr>
      <w:r>
        <w:rPr>
          <w:rFonts w:ascii="Calibri" w:cs="Calibri" w:eastAsia="Calibri" w:hAnsi="Calibri"/>
          <w:b/>
          <w:bCs/>
          <w:color w:val="1F3864"/>
        </w:rPr>
        <w:t xml:space="preserve">2.1 Localisation et dates</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3600"/>
        <w:gridCol w:w="5760"/>
      </w:tblGrid>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Nom du site / terrain</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Adresse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Coordonnées (lat, lon)</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Événement (nom, type)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[EXEMPLE] match annoncé avec spectateurs</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Date(s) et heures prévues</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Organisateur (contact)</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Propriétaire du terrain (contact)</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bl>
    <w:p>
      <w:pPr>
        <w:pStyle w:val="Heading2"/>
        <w:spacing w:after="100" w:before="200"/>
      </w:pPr>
      <w:r>
        <w:rPr>
          <w:rFonts w:ascii="Calibri" w:cs="Calibri" w:eastAsia="Calibri" w:hAnsi="Calibri"/>
          <w:b/>
          <w:bCs/>
          <w:color w:val="1F3864"/>
        </w:rPr>
        <w:t xml:space="preserve">2.2 Espace aérien</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3600"/>
        <w:gridCol w:w="5760"/>
      </w:tblGrid>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Classe d'espace aérien</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non contrôlé    ☐ contrôlé (autorisation ATC requise)</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Aérodrome / héliport à proximité ?</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NOTAM vérifié (date)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Plafond de vol prévu (AGL)</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bl>
    <w:p>
      <w:pPr>
        <w:pStyle w:val="Heading2"/>
        <w:spacing w:after="100" w:before="200"/>
      </w:pPr>
      <w:r>
        <w:rPr>
          <w:rFonts w:ascii="Calibri" w:cs="Calibri" w:eastAsia="Calibri" w:hAnsi="Calibri"/>
          <w:b/>
          <w:bCs/>
          <w:color w:val="1F3864"/>
        </w:rPr>
        <w:t xml:space="preserve">2.3 Éléments du plan à l'échelle (à cartographier)</w:t>
      </w:r>
    </w:p>
    <w:p>
      <w:pPr>
        <w:pStyle w:val="ListParagraph"/>
        <w:numPr>
          <w:ilvl w:val="0"/>
          <w:numId w:val="1"/>
        </w:numPr>
        <w:spacing w:after="60" w:line="270"/>
      </w:pPr>
      <w:r>
        <w:rPr>
          <w:rFonts w:ascii="Calibri" w:cs="Calibri" w:eastAsia="Calibri" w:hAnsi="Calibri"/>
          <w:sz w:val="21"/>
          <w:szCs w:val="21"/>
        </w:rPr>
        <w:t xml:space="preserve">Périmètre exact de l'événement (limite du site).</w:t>
      </w:r>
    </w:p>
    <w:p>
      <w:pPr>
        <w:pStyle w:val="ListParagraph"/>
        <w:numPr>
          <w:ilvl w:val="0"/>
          <w:numId w:val="1"/>
        </w:numPr>
        <w:spacing w:after="60" w:line="270"/>
      </w:pPr>
      <w:r>
        <w:rPr>
          <w:rFonts w:ascii="Calibri" w:cs="Calibri" w:eastAsia="Calibri" w:hAnsi="Calibri"/>
          <w:sz w:val="21"/>
          <w:szCs w:val="21"/>
        </w:rPr>
        <w:t xml:space="preserve">Zones spectateurs, bancs, entrées/sorties.</w:t>
      </w:r>
    </w:p>
    <w:p>
      <w:pPr>
        <w:pStyle w:val="ListParagraph"/>
        <w:numPr>
          <w:ilvl w:val="0"/>
          <w:numId w:val="1"/>
        </w:numPr>
        <w:spacing w:after="60" w:line="270"/>
      </w:pPr>
      <w:r>
        <w:rPr>
          <w:rFonts w:ascii="Calibri" w:cs="Calibri" w:eastAsia="Calibri" w:hAnsi="Calibri"/>
          <w:sz w:val="21"/>
          <w:szCs w:val="21"/>
        </w:rPr>
        <w:t xml:space="preserve">Volume et trajectoire de vol prévus.</w:t>
      </w:r>
    </w:p>
    <w:p>
      <w:pPr>
        <w:pStyle w:val="ListParagraph"/>
        <w:numPr>
          <w:ilvl w:val="0"/>
          <w:numId w:val="1"/>
        </w:numPr>
        <w:spacing w:after="60" w:line="270"/>
      </w:pPr>
      <w:r>
        <w:rPr>
          <w:rFonts w:ascii="Calibri" w:cs="Calibri" w:eastAsia="Calibri" w:hAnsi="Calibri"/>
          <w:sz w:val="21"/>
          <w:szCs w:val="21"/>
        </w:rPr>
        <w:t xml:space="preserve">Zone(s) de décollage et d'atterrissage.</w:t>
      </w:r>
    </w:p>
    <w:p>
      <w:pPr>
        <w:pStyle w:val="ListParagraph"/>
        <w:numPr>
          <w:ilvl w:val="0"/>
          <w:numId w:val="1"/>
        </w:numPr>
        <w:spacing w:after="60" w:line="270"/>
      </w:pPr>
      <w:r>
        <w:rPr>
          <w:rFonts w:ascii="Calibri" w:cs="Calibri" w:eastAsia="Calibri" w:hAnsi="Calibri"/>
          <w:sz w:val="21"/>
          <w:szCs w:val="21"/>
        </w:rPr>
        <w:t xml:space="preserve">Point de retour automatique (RTH) et zone d'urgence.</w:t>
      </w:r>
    </w:p>
    <w:p>
      <w:pPr>
        <w:pStyle w:val="ListParagraph"/>
        <w:numPr>
          <w:ilvl w:val="0"/>
          <w:numId w:val="1"/>
        </w:numPr>
        <w:spacing w:after="60" w:line="270"/>
      </w:pPr>
      <w:r>
        <w:rPr>
          <w:rFonts w:ascii="Calibri" w:cs="Calibri" w:eastAsia="Calibri" w:hAnsi="Calibri"/>
          <w:sz w:val="21"/>
          <w:szCs w:val="21"/>
        </w:rPr>
        <w:t xml:space="preserve">Obstacles (arbres, poteaux, filets, bâtiments).</w:t>
      </w:r>
    </w:p>
    <w:p>
      <w:pPr>
        <w:pStyle w:val="ListParagraph"/>
        <w:numPr>
          <w:ilvl w:val="0"/>
          <w:numId w:val="1"/>
        </w:numPr>
        <w:spacing w:after="60" w:line="270"/>
      </w:pPr>
      <w:r>
        <w:rPr>
          <w:rFonts w:ascii="Calibri" w:cs="Calibri" w:eastAsia="Calibri" w:hAnsi="Calibri"/>
          <w:sz w:val="21"/>
          <w:szCs w:val="21"/>
        </w:rPr>
        <w:t xml:space="preserve">Position du pilote et de l'observateur.</w:t>
      </w:r>
    </w:p>
    <w:p>
      <w:pPr>
        <w:pStyle w:val="ListParagraph"/>
        <w:numPr>
          <w:ilvl w:val="0"/>
          <w:numId w:val="1"/>
        </w:numPr>
        <w:spacing w:after="60" w:line="270"/>
      </w:pPr>
      <w:r>
        <w:rPr>
          <w:rFonts w:ascii="Calibri" w:cs="Calibri" w:eastAsia="Calibri" w:hAnsi="Calibri"/>
          <w:sz w:val="21"/>
          <w:szCs w:val="21"/>
        </w:rPr>
        <w:t xml:space="preserve">Distance tampon (buffer) calculée entre le volume de vol et les personnes.</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3600"/>
        <w:gridCol w:w="5760"/>
      </w:tblGrid>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Plan à l'échelle joint ?</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oui (annexe ___)    ☐ à faire</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Responsable / date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bl>
    <w:p>
      <w:r>
        <w:br w:type="page"/>
      </w:r>
    </w:p>
    <w:p>
      <w:pPr>
        <w:pStyle w:val="Heading1"/>
        <w:spacing w:after="140" w:before="300"/>
      </w:pPr>
      <w:r>
        <w:rPr>
          <w:rFonts w:ascii="Calibri" w:cs="Calibri" w:eastAsia="Calibri" w:hAnsi="Calibri"/>
          <w:b/>
          <w:bCs/>
          <w:color w:val="1F3864"/>
        </w:rPr>
        <w:t xml:space="preserve">Fiche 3 — Baseline de configuration (gel)</w:t>
      </w:r>
    </w:p>
    <w:p>
      <w:pPr>
        <w:spacing w:after="100" w:line="276"/>
      </w:pPr>
      <w:r>
        <w:rPr>
          <w:rFonts w:ascii="Calibri" w:cs="Calibri" w:eastAsia="Calibri" w:hAnsi="Calibri"/>
          <w:b/>
          <w:bCs/>
          <w:sz w:val="21"/>
          <w:szCs w:val="21"/>
        </w:rPr>
        <w:t xml:space="preserve">Objectif (étape 0.2) : </w:t>
      </w:r>
      <w:r>
        <w:rPr>
          <w:rFonts w:ascii="Calibri" w:cs="Calibri" w:eastAsia="Calibri" w:hAnsi="Calibri"/>
          <w:sz w:val="21"/>
          <w:szCs w:val="21"/>
        </w:rPr>
        <w:t xml:space="preserve">figer la configuration exacte. Toute preuve d'essai n'est valable QUE pour cette configuration ; une mise à jour (firmware, APK, modèle) déclenche une analyse d'impact et peut périmer des preuves.</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3600"/>
        <w:gridCol w:w="5760"/>
      </w:tblGrid>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Commit logiciel (hash)</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Version APK</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DJI MSDK (version)</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[EXEMPLE] 5.18.0</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Firmware drone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Firmware radiocommande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Modèle du téléphone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Version Android</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Modèle YOLO (+ fichiers)</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[EXEMPLE] yolo11n — .param / .bin ‹hash›</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Seuils clés (conf. YOLO, batt. min, dist. max)</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Flags d'émission (état)</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SOCCER_2D_REAL_ENABLED = ____ ; SOCCER_2D_MAX_VSPEED_MPS = 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Date du gel / responsable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Signature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bl>
    <w:p>
      <w:pPr>
        <w:spacing w:after="100" w:line="276"/>
      </w:pPr>
      <w:r>
        <w:rPr>
          <w:rFonts w:ascii="Calibri" w:cs="Calibri" w:eastAsia="Calibri" w:hAnsi="Calibri"/>
          <w:b/>
          <w:bCs/>
          <w:color w:val="C00000"/>
          <w:sz w:val="21"/>
          <w:szCs w:val="21"/>
        </w:rPr>
        <w:t xml:space="preserve">Rappel : </w:t>
      </w:r>
      <w:r>
        <w:rPr>
          <w:rFonts w:ascii="Calibri" w:cs="Calibri" w:eastAsia="Calibri" w:hAnsi="Calibri"/>
          <w:sz w:val="21"/>
          <w:szCs w:val="21"/>
        </w:rPr>
        <w:t xml:space="preserve">les flags d'émission doivent rester à l'état INERTE (flag off, vMax 0) tant que la Phase 3 (revue) et les essais au sol (Phase 2) ne sont pas terminés et acceptés.</w:t>
      </w:r>
    </w:p>
    <w:p>
      <w:r>
        <w:br w:type="page"/>
      </w:r>
    </w:p>
    <w:p>
      <w:pPr>
        <w:pStyle w:val="Heading1"/>
        <w:spacing w:after="140" w:before="300"/>
      </w:pPr>
      <w:r>
        <w:rPr>
          <w:rFonts w:ascii="Calibri" w:cs="Calibri" w:eastAsia="Calibri" w:hAnsi="Calibri"/>
          <w:b/>
          <w:bCs/>
          <w:color w:val="1F3864"/>
        </w:rPr>
        <w:t xml:space="preserve">Fiche 4 — Checklist de dépôt SFOC-RPAS</w:t>
      </w:r>
    </w:p>
    <w:p>
      <w:pPr>
        <w:spacing w:after="100" w:line="276"/>
      </w:pPr>
      <w:r>
        <w:rPr>
          <w:rFonts w:ascii="Calibri" w:cs="Calibri" w:eastAsia="Calibri" w:hAnsi="Calibri"/>
          <w:b/>
          <w:bCs/>
          <w:sz w:val="21"/>
          <w:szCs w:val="21"/>
        </w:rPr>
        <w:t xml:space="preserve">Objectif : </w:t>
      </w:r>
      <w:r>
        <w:rPr>
          <w:rFonts w:ascii="Calibri" w:cs="Calibri" w:eastAsia="Calibri" w:hAnsi="Calibri"/>
          <w:sz w:val="21"/>
          <w:szCs w:val="21"/>
        </w:rPr>
        <w:t xml:space="preserve">vérifier que toutes les pièces sont prêtes AVANT de déposer via le Centre SATP. Le délai officiel (jusqu'à 30 jours ouvrables) ne démarre qu'à réception d'une demande COMPLÈTE. Déposer au moins 30 jours avant l'opération.</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5400"/>
        <w:gridCol w:w="1680"/>
        <w:gridCol w:w="2280"/>
      </w:tblGrid>
      <w:tr>
        <w:trPr>
          <w:tblHeader/>
        </w:trPr>
        <w:tc>
          <w:tcPr>
            <w:tcW w:type="dxa" w:w="54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Pièce</w:t>
            </w:r>
          </w:p>
        </w:tc>
        <w:tc>
          <w:tcPr>
            <w:tcW w:type="dxa" w:w="168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Statut</w:t>
            </w:r>
          </w:p>
        </w:tc>
        <w:tc>
          <w:tcPr>
            <w:tcW w:type="dxa" w:w="228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Référence / note</w:t>
            </w:r>
          </w:p>
        </w:tc>
      </w:tr>
      <w:tr>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Formulaire 26-0835E (version courante téléchargée)</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w:t>
            </w:r>
          </w:p>
        </w:tc>
        <w:tc>
          <w:tcPr>
            <w:tcW w:type="dxa" w:w="22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Dossier de sécurité (Safety Case) finalisé</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w:t>
            </w:r>
          </w:p>
        </w:tc>
        <w:tc>
          <w:tcPr>
            <w:tcW w:type="dxa" w:w="22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v___ sans [EXEMPLE]</w:t>
            </w:r>
          </w:p>
        </w:tc>
      </w:tr>
      <w:tr>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Fiche de pesée &lt; 250,0 g (Fiche 1)</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w:t>
            </w:r>
          </w:p>
        </w:tc>
        <w:tc>
          <w:tcPr>
            <w:tcW w:type="dxa" w:w="22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Fiche site + espace aérien (Fiche 2)</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w:t>
            </w:r>
          </w:p>
        </w:tc>
        <w:tc>
          <w:tcPr>
            <w:tcW w:type="dxa" w:w="22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Plan à l'échelle du site</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w:t>
            </w:r>
          </w:p>
        </w:tc>
        <w:tc>
          <w:tcPr>
            <w:tcW w:type="dxa" w:w="22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Calcul de confinement (buffer chiffré)</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w:t>
            </w:r>
          </w:p>
        </w:tc>
        <w:tc>
          <w:tcPr>
            <w:tcW w:type="dxa" w:w="22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Baseline de configuration figée (Fiche 3)</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w:t>
            </w:r>
          </w:p>
        </w:tc>
        <w:tc>
          <w:tcPr>
            <w:tcW w:type="dxa" w:w="22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Fiches d'essai E-01 à E-12 signées</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w:t>
            </w:r>
          </w:p>
        </w:tc>
        <w:tc>
          <w:tcPr>
            <w:tcW w:type="dxa" w:w="22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(Phases 2 et 4)</w:t>
            </w:r>
          </w:p>
        </w:tc>
      </w:tr>
      <w:tr>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Mesures GNSS / freinage / dérive</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w:t>
            </w:r>
          </w:p>
        </w:tc>
        <w:tc>
          <w:tcPr>
            <w:tcW w:type="dxa" w:w="22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(Phase 4.5)</w:t>
            </w:r>
          </w:p>
        </w:tc>
      </w:tr>
      <w:tr>
        <w:tc>
          <w:tcPr>
            <w:tcW w:type="dxa" w:w="54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Rapport de revue indépendante signé</w:t>
            </w:r>
          </w:p>
        </w:tc>
        <w:tc>
          <w:tcPr>
            <w:tcW w:type="dxa" w:w="168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w:t>
            </w:r>
          </w:p>
        </w:tc>
        <w:tc>
          <w:tcPr>
            <w:tcW w:type="dxa" w:w="228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(Phase 3, accepté)</w:t>
            </w:r>
          </w:p>
        </w:tc>
      </w:tr>
      <w:tr>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Matrice de conformité AC 903-002</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w:t>
            </w:r>
          </w:p>
        </w:tc>
        <w:tc>
          <w:tcPr>
            <w:tcW w:type="dxa" w:w="22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Attestation d'assurance responsabilité</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w:t>
            </w:r>
          </w:p>
        </w:tc>
        <w:tc>
          <w:tcPr>
            <w:tcW w:type="dxa" w:w="22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Pilote responsable (certificat) et observateur</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w:t>
            </w:r>
          </w:p>
        </w:tc>
        <w:tc>
          <w:tcPr>
            <w:tcW w:type="dxa" w:w="22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5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Procédures d'urgence contextualisées + exercice</w:t>
            </w:r>
          </w:p>
        </w:tc>
        <w:tc>
          <w:tcPr>
            <w:tcW w:type="dxa" w:w="16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w:t>
            </w:r>
          </w:p>
        </w:tc>
        <w:tc>
          <w:tcPr>
            <w:tcW w:type="dxa" w:w="228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5400"/>
            <w:shd w:fill="FCE4D6"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Retrait de TOUS les champs [EXEMPLE]</w:t>
            </w:r>
          </w:p>
        </w:tc>
        <w:tc>
          <w:tcPr>
            <w:tcW w:type="dxa" w:w="1680"/>
            <w:shd w:fill="FCE4D6"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w:t>
            </w:r>
          </w:p>
        </w:tc>
        <w:tc>
          <w:tcPr>
            <w:tcW w:type="dxa" w:w="2280"/>
            <w:shd w:fill="FCE4D6"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vérif finale</w:t>
            </w:r>
          </w:p>
        </w:tc>
      </w:tr>
    </w:tbl>
    <w:p>
      <w:pPr>
        <w:spacing w:after="60"/>
      </w:pPr>
      <w:r>
        <w:rPr>
          <w:rFonts w:ascii="Calibri" w:cs="Calibri" w:eastAsia="Calibri" w:hAnsi="Calibri"/>
        </w:rPr>
        <w:t xml:space="preserve"/>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3600"/>
        <w:gridCol w:w="5760"/>
      </w:tblGrid>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Frais prévus</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75 $ (faible complexité, à confirmer par TC) — voir §13 du dossier</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Date de dépôt visée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Numéro de dossier TC (une fois attribué)</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Numéro ATS (une fois attribué)</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Responsable du dépôt / signature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Rappel réglementaire (vérifié) : </w:t>
      </w:r>
      <w:r>
        <w:rPr>
          <w:rFonts w:ascii="Calibri" w:cs="Calibri" w:eastAsia="Calibri" w:hAnsi="Calibri"/>
          <w:sz w:val="21"/>
          <w:szCs w:val="21"/>
        </w:rPr>
        <w:t xml:space="preserve">un SFOC est requis pour tout drone, microdrones inclus, à un événement annoncé. Aucune exemption générale de 30 m. Voir §13 du dossier v16 pour les retours d'expérience à confirmer par écrit auprès de Transports Canada.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Gabarits de préparation au dépôt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CineFlight Soccer — Gabarits de préparation au dépôt</dc:title>
  <dc:creator>CineFlight</dc:creator>
  <cp:lastModifiedBy>Un-named</cp:lastModifiedBy>
  <cp:revision>1</cp:revision>
  <dcterms:created xsi:type="dcterms:W3CDTF">2026-07-20T12:22:55.925Z</dcterms:created>
  <dcterms:modified xsi:type="dcterms:W3CDTF">2026-07-20T12:22:55.925Z</dcterms:modified>
</cp:coreProperties>
</file>

<file path=docProps/custom.xml><?xml version="1.0" encoding="utf-8"?>
<Properties xmlns="http://schemas.openxmlformats.org/officeDocument/2006/custom-properties" xmlns:vt="http://schemas.openxmlformats.org/officeDocument/2006/docPropsVTypes"/>
</file>