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496" w:rsidRDefault="003528A0" w:rsidP="003528A0">
      <w:pPr>
        <w:jc w:val="center"/>
      </w:pPr>
      <w:r>
        <w:rPr>
          <w:b/>
        </w:rPr>
        <w:t>ALBERT GAVALIS</w:t>
      </w:r>
    </w:p>
    <w:p w:rsidR="005016B1" w:rsidRDefault="003528A0" w:rsidP="003528A0">
      <w:pPr>
        <w:jc w:val="center"/>
      </w:pPr>
      <w:r>
        <w:t>21 Stuyvesant Oval Apt 8A</w:t>
      </w:r>
    </w:p>
    <w:p w:rsidR="003528A0" w:rsidRDefault="003528A0" w:rsidP="003528A0">
      <w:pPr>
        <w:jc w:val="center"/>
      </w:pPr>
      <w:r>
        <w:t>New York, NY 10009</w:t>
      </w:r>
    </w:p>
    <w:p w:rsidR="003528A0" w:rsidRDefault="003528A0" w:rsidP="003528A0">
      <w:pPr>
        <w:jc w:val="center"/>
      </w:pPr>
      <w:r>
        <w:t>212-529-2084</w:t>
      </w:r>
    </w:p>
    <w:p w:rsidR="003528A0" w:rsidRDefault="00F90C7D" w:rsidP="003528A0">
      <w:pPr>
        <w:jc w:val="center"/>
      </w:pPr>
      <w:hyperlink r:id="rId8" w:history="1">
        <w:r w:rsidR="003528A0" w:rsidRPr="004123ED">
          <w:rPr>
            <w:rStyle w:val="Hyperlink"/>
          </w:rPr>
          <w:t>agavalis@yahoo.com</w:t>
        </w:r>
      </w:hyperlink>
      <w:r w:rsidR="003528A0">
        <w:t xml:space="preserve"> </w:t>
      </w:r>
    </w:p>
    <w:p w:rsidR="003528A0" w:rsidRDefault="003528A0" w:rsidP="005016B1">
      <w:pPr>
        <w:tabs>
          <w:tab w:val="left" w:pos="6708"/>
        </w:tabs>
      </w:pPr>
    </w:p>
    <w:p w:rsidR="003528A0" w:rsidRDefault="003528A0" w:rsidP="003528A0">
      <w:pPr>
        <w:jc w:val="center"/>
      </w:pPr>
      <w:r>
        <w:rPr>
          <w:b/>
        </w:rPr>
        <w:t>PROFILE</w:t>
      </w:r>
    </w:p>
    <w:p w:rsidR="006C74F4" w:rsidRDefault="003528A0" w:rsidP="006C74F4">
      <w:pPr>
        <w:jc w:val="both"/>
      </w:pPr>
      <w:r>
        <w:t xml:space="preserve">Licensed </w:t>
      </w:r>
      <w:r w:rsidRPr="003528A0">
        <w:t>CPA</w:t>
      </w:r>
      <w:r w:rsidR="00E125AC">
        <w:t xml:space="preserve"> and a</w:t>
      </w:r>
      <w:r w:rsidRPr="003528A0">
        <w:t>ttorney contracted to work in steep learning-curve emergency-crisis and rules-changing environments</w:t>
      </w:r>
      <w:r w:rsidR="006C02AC">
        <w:t xml:space="preserve"> - h</w:t>
      </w:r>
      <w:r w:rsidR="006C02AC" w:rsidRPr="006C02AC">
        <w:t>ighly capable in driving change and innovation to deliver</w:t>
      </w:r>
      <w:r w:rsidR="006C02AC">
        <w:t xml:space="preserve"> finished work-product, including </w:t>
      </w:r>
      <w:r w:rsidR="006C02AC" w:rsidRPr="006C02AC">
        <w:t>performing end to end analysis to identify gaps and propose solutions</w:t>
      </w:r>
      <w:r w:rsidR="006C02AC">
        <w:t xml:space="preserve">. </w:t>
      </w:r>
      <w:r w:rsidR="006C74F4">
        <w:t>Accounting Background in Structured Products with Product Control experience</w:t>
      </w:r>
      <w:r w:rsidR="002734E4">
        <w:t xml:space="preserve"> with Treasury and Regulatory analysis</w:t>
      </w:r>
      <w:r w:rsidR="006C74F4">
        <w:t xml:space="preserve">. Experience in Financial Control/Product Control with an understanding of Securitized </w:t>
      </w:r>
      <w:r w:rsidR="0006225C">
        <w:t>Products (ABS, MBS, CDO's, etc.</w:t>
      </w:r>
      <w:r w:rsidR="006C74F4">
        <w:t>)  Fixed Income products exposure (Structured products / Loans / CDO / Agency / Non Agency / CMBS / Warehousing) Working knowledge of Impact/BPS/Loan</w:t>
      </w:r>
      <w:r w:rsidR="0002021B">
        <w:t>-</w:t>
      </w:r>
      <w:r w:rsidR="006C74F4">
        <w:t>IQ sub</w:t>
      </w:r>
      <w:r w:rsidR="0002021B">
        <w:t>-</w:t>
      </w:r>
      <w:bookmarkStart w:id="0" w:name="_GoBack"/>
      <w:bookmarkEnd w:id="0"/>
      <w:r w:rsidR="006C74F4">
        <w:t>ledger systems</w:t>
      </w:r>
      <w:r w:rsidR="00E125AC">
        <w:t xml:space="preserve">, Sharepoint data-base systems, and various </w:t>
      </w:r>
      <w:r w:rsidR="006C74F4">
        <w:t>G</w:t>
      </w:r>
      <w:r w:rsidR="00E125AC">
        <w:t xml:space="preserve">eneral </w:t>
      </w:r>
      <w:r w:rsidR="006C74F4">
        <w:t>L</w:t>
      </w:r>
      <w:r w:rsidR="00E125AC">
        <w:t>edger systems.</w:t>
      </w:r>
    </w:p>
    <w:p w:rsidR="006C74F4" w:rsidRDefault="006C74F4" w:rsidP="006C74F4"/>
    <w:p w:rsidR="006C74F4" w:rsidRPr="00F973AB" w:rsidRDefault="006C74F4" w:rsidP="006C74F4">
      <w:pPr>
        <w:jc w:val="center"/>
        <w:rPr>
          <w:b/>
        </w:rPr>
      </w:pPr>
      <w:r>
        <w:rPr>
          <w:b/>
        </w:rPr>
        <w:t>SPEAKING ENGAGEMENTS</w:t>
      </w:r>
    </w:p>
    <w:p w:rsidR="006C74F4" w:rsidRDefault="006C74F4" w:rsidP="006C74F4">
      <w:pPr>
        <w:jc w:val="both"/>
      </w:pPr>
      <w:r>
        <w:t xml:space="preserve">After having consulted at Freddie Mac in 2003, I was invited </w:t>
      </w:r>
      <w:r w:rsidRPr="008956CC">
        <w:t xml:space="preserve">in April 2004 </w:t>
      </w:r>
      <w:r>
        <w:t xml:space="preserve">to </w:t>
      </w:r>
      <w:r w:rsidRPr="008956CC">
        <w:t xml:space="preserve">The American Enterprise Institute (AEI) </w:t>
      </w:r>
      <w:r>
        <w:t xml:space="preserve">in Washington, DC to participate as a </w:t>
      </w:r>
      <w:r w:rsidRPr="008956CC">
        <w:t xml:space="preserve">panel-team </w:t>
      </w:r>
      <w:r>
        <w:t xml:space="preserve">member to </w:t>
      </w:r>
      <w:r w:rsidRPr="008956CC">
        <w:t xml:space="preserve">review Fannie Mae's </w:t>
      </w:r>
      <w:r>
        <w:t>$7 Billion derivatives loss</w:t>
      </w:r>
      <w:r w:rsidRPr="008956CC">
        <w:t xml:space="preserve"> </w:t>
      </w:r>
      <w:r>
        <w:t xml:space="preserve">at the time </w:t>
      </w:r>
      <w:r w:rsidRPr="008956CC">
        <w:t xml:space="preserve">- the </w:t>
      </w:r>
      <w:r>
        <w:t xml:space="preserve">original announcement </w:t>
      </w:r>
      <w:r w:rsidRPr="008956CC">
        <w:t xml:space="preserve">may be viewed at </w:t>
      </w:r>
      <w:r>
        <w:t xml:space="preserve">AEI </w:t>
      </w:r>
      <w:r w:rsidRPr="008956CC">
        <w:t xml:space="preserve">link at - </w:t>
      </w:r>
      <w:hyperlink r:id="rId9" w:history="1">
        <w:r w:rsidRPr="004123ED">
          <w:rPr>
            <w:rStyle w:val="Hyperlink"/>
          </w:rPr>
          <w:t>http://www.aei.org/event/788</w:t>
        </w:r>
      </w:hyperlink>
      <w:r>
        <w:t xml:space="preserve"> </w:t>
      </w:r>
      <w:r w:rsidRPr="008956CC">
        <w:t>-</w:t>
      </w:r>
    </w:p>
    <w:p w:rsidR="00A27D0A" w:rsidRPr="003528A0" w:rsidRDefault="00A27D0A" w:rsidP="00845E19">
      <w:pPr>
        <w:jc w:val="both"/>
      </w:pPr>
    </w:p>
    <w:p w:rsidR="003528A0" w:rsidRDefault="003528A0" w:rsidP="003528A0">
      <w:pPr>
        <w:jc w:val="center"/>
      </w:pPr>
      <w:r>
        <w:rPr>
          <w:b/>
        </w:rPr>
        <w:t>PROFESSIONAL EXPERIENCE</w:t>
      </w:r>
    </w:p>
    <w:p w:rsidR="00F36DD9" w:rsidRPr="00F36DD9" w:rsidRDefault="00F36DD9" w:rsidP="00F36DD9">
      <w:pPr>
        <w:jc w:val="both"/>
        <w:rPr>
          <w:b/>
        </w:rPr>
      </w:pPr>
      <w:r w:rsidRPr="00F36DD9">
        <w:rPr>
          <w:b/>
        </w:rPr>
        <w:t>Resolutions &amp; Receiverships Specialist</w:t>
      </w:r>
    </w:p>
    <w:p w:rsidR="00F36DD9" w:rsidRPr="00F36DD9" w:rsidRDefault="00F36DD9" w:rsidP="00F36DD9">
      <w:pPr>
        <w:jc w:val="both"/>
        <w:rPr>
          <w:b/>
        </w:rPr>
      </w:pPr>
      <w:r w:rsidRPr="00F36DD9">
        <w:rPr>
          <w:b/>
        </w:rPr>
        <w:t xml:space="preserve">FDIC - East Coast Temporary Satellite Office (ECTSO), Jacksonville, Florida </w:t>
      </w:r>
      <w:r w:rsidRPr="00F36DD9">
        <w:rPr>
          <w:b/>
        </w:rPr>
        <w:tab/>
      </w:r>
      <w:r w:rsidRPr="00F36DD9">
        <w:rPr>
          <w:b/>
        </w:rPr>
        <w:tab/>
        <w:t xml:space="preserve">      2010 – 2014</w:t>
      </w:r>
    </w:p>
    <w:p w:rsidR="006C02AC" w:rsidRDefault="005016B1" w:rsidP="006C02AC">
      <w:pPr>
        <w:ind w:firstLine="360"/>
      </w:pPr>
      <w:r>
        <w:t>Prevented, averted and obviated a 1930s-style Economic-Collapse by spreading-out over 10+ years, $Billion lump-sum single-payouts of failed bank assets to acquiring i</w:t>
      </w:r>
      <w:r w:rsidR="00FA2E67">
        <w:t>nstitutions under “Loss-Sharing</w:t>
      </w:r>
      <w:r>
        <w:t>”</w:t>
      </w:r>
      <w:r w:rsidR="00FA2E67">
        <w:t xml:space="preserve"> – see - </w:t>
      </w:r>
      <w:hyperlink r:id="rId10" w:history="1">
        <w:r w:rsidR="00FA2E67" w:rsidRPr="007936F3">
          <w:rPr>
            <w:rStyle w:val="Hyperlink"/>
          </w:rPr>
          <w:t>http://www.fdic.gov/bank/individual/failed/lossshare/</w:t>
        </w:r>
      </w:hyperlink>
      <w:r w:rsidR="00FA2E67">
        <w:t xml:space="preserve"> </w:t>
      </w:r>
      <w:r w:rsidR="006C02AC" w:rsidRPr="006C02AC">
        <w:t xml:space="preserve"> </w:t>
      </w:r>
    </w:p>
    <w:p w:rsidR="006C02AC" w:rsidRPr="006C02AC" w:rsidRDefault="006C02AC" w:rsidP="006C02AC">
      <w:pPr>
        <w:ind w:firstLine="360"/>
      </w:pPr>
      <w:r w:rsidRPr="006C02AC">
        <w:t>Legal, accounting, and data-validation Subject Matter Expert (SME) in the Division of Resolutions &amp; Receiverships (DRR)  Risk Share Asset Management (RSAM) processing upwards of $15 Billion+ in Loss Share payments to over 50+ Acquiring Institutions of 100+ Failed Banks, totaling upwards of $40 Billion+ in Asset Value via FDIC’s RSAM Transactions Submissions Portal and Data-Validation Process RTSP/RDVP.</w:t>
      </w:r>
    </w:p>
    <w:p w:rsidR="006C02AC" w:rsidRDefault="006C02AC" w:rsidP="006C02AC">
      <w:pPr>
        <w:numPr>
          <w:ilvl w:val="0"/>
          <w:numId w:val="3"/>
        </w:numPr>
      </w:pPr>
      <w:r>
        <w:t>G</w:t>
      </w:r>
      <w:r w:rsidRPr="006C02AC">
        <w:t>rasp</w:t>
      </w:r>
      <w:r>
        <w:t>ed</w:t>
      </w:r>
      <w:r w:rsidRPr="006C02AC">
        <w:t xml:space="preserve"> and master</w:t>
      </w:r>
      <w:r>
        <w:t>ed</w:t>
      </w:r>
      <w:r w:rsidRPr="006C02AC">
        <w:t xml:space="preserve"> new subject matter and related concepts</w:t>
      </w:r>
      <w:r>
        <w:t xml:space="preserve"> on technical accounting issues in implementing the Risk Share Asset Management (RSAM) Data Validation Processing (RDVP) </w:t>
      </w:r>
      <w:r>
        <w:t>and RSAM</w:t>
      </w:r>
      <w:r>
        <w:t xml:space="preserve"> Transactions </w:t>
      </w:r>
      <w:r>
        <w:t>Submissions Portal (RTSP)</w:t>
      </w:r>
      <w:r>
        <w:t xml:space="preserve"> - </w:t>
      </w:r>
      <w:hyperlink r:id="rId11" w:history="1">
        <w:r w:rsidRPr="00672B80">
          <w:rPr>
            <w:rStyle w:val="Hyperlink"/>
          </w:rPr>
          <w:t>http://www.fdic.gov/bank/individual/failed/lossshare/lossshare_DataSpecs.html</w:t>
        </w:r>
      </w:hyperlink>
      <w:r>
        <w:t xml:space="preserve"> </w:t>
      </w:r>
    </w:p>
    <w:p w:rsidR="002734E4" w:rsidRDefault="006C02AC" w:rsidP="006C02AC">
      <w:pPr>
        <w:numPr>
          <w:ilvl w:val="0"/>
          <w:numId w:val="3"/>
        </w:numPr>
      </w:pPr>
      <w:r>
        <w:t>Provided b</w:t>
      </w:r>
      <w:r w:rsidR="002734E4">
        <w:t>usiness/data analysis and project management within clients' Treasury, focusing on the area of Liquidity Risk Management/Reporting , including FRB 5G, Basel III, FSA, CRD IV, and Liquidity Stress Testing</w:t>
      </w:r>
      <w:r>
        <w:t xml:space="preserve"> including</w:t>
      </w:r>
      <w:r w:rsidRPr="006C02AC">
        <w:t xml:space="preserve"> Comprehensive Capital Analysis and Review (CCAR</w:t>
      </w:r>
      <w:r>
        <w:t xml:space="preserve">) - </w:t>
      </w:r>
      <w:hyperlink r:id="rId12" w:history="1">
        <w:r w:rsidRPr="007936F3">
          <w:rPr>
            <w:rStyle w:val="Hyperlink"/>
          </w:rPr>
          <w:t>http://www.federalreserve.gov/newsevents/press/bcreg/20140326a.htm</w:t>
        </w:r>
      </w:hyperlink>
      <w:r>
        <w:t xml:space="preserve">  </w:t>
      </w:r>
    </w:p>
    <w:p w:rsidR="002734E4" w:rsidRDefault="006C02AC" w:rsidP="002734E4">
      <w:pPr>
        <w:numPr>
          <w:ilvl w:val="0"/>
          <w:numId w:val="3"/>
        </w:numPr>
      </w:pPr>
      <w:r>
        <w:t xml:space="preserve">Applied various </w:t>
      </w:r>
      <w:r w:rsidRPr="006C02AC">
        <w:t>Credit, Market and Operational Risk Management concepts</w:t>
      </w:r>
      <w:r>
        <w:t xml:space="preserve"> for </w:t>
      </w:r>
      <w:r w:rsidR="002734E4">
        <w:t>project plans/implementation plans and provide</w:t>
      </w:r>
      <w:r>
        <w:t>d</w:t>
      </w:r>
      <w:r w:rsidR="002734E4">
        <w:t xml:space="preserve"> updates on project status meetings, including preparing agendas and minutes</w:t>
      </w:r>
    </w:p>
    <w:p w:rsidR="002734E4" w:rsidRDefault="002734E4" w:rsidP="002734E4">
      <w:pPr>
        <w:numPr>
          <w:ilvl w:val="0"/>
          <w:numId w:val="3"/>
        </w:numPr>
      </w:pPr>
      <w:r>
        <w:t>Worked closely with senior project sponsors, key Liquidity Reporting business users and technology to write scope, business requirements and functional specification documents</w:t>
      </w:r>
    </w:p>
    <w:p w:rsidR="002734E4" w:rsidRDefault="00E125AC" w:rsidP="00E125AC">
      <w:pPr>
        <w:numPr>
          <w:ilvl w:val="0"/>
          <w:numId w:val="3"/>
        </w:numPr>
      </w:pPr>
      <w:r>
        <w:t>I</w:t>
      </w:r>
      <w:r w:rsidRPr="00E125AC">
        <w:t>nteract</w:t>
      </w:r>
      <w:r>
        <w:t>ed</w:t>
      </w:r>
      <w:r w:rsidRPr="00E125AC">
        <w:t xml:space="preserve"> and buil</w:t>
      </w:r>
      <w:r>
        <w:t>t</w:t>
      </w:r>
      <w:r w:rsidRPr="00E125AC">
        <w:t xml:space="preserve"> consensus across functions and levels of seniority</w:t>
      </w:r>
      <w:r>
        <w:t xml:space="preserve"> as l</w:t>
      </w:r>
      <w:r w:rsidR="002734E4">
        <w:t>iaison between Liquidity Business users and Liquidity Systems development group to develop solutions for Liquidity Risk Reporting such as 5G, Basel III, FSA, CRD IV, Concentration Reporting, Liquidity Stress Testing and Daily Deposits Reporting</w:t>
      </w:r>
    </w:p>
    <w:p w:rsidR="002734E4" w:rsidRDefault="00D22BB3" w:rsidP="00D22BB3">
      <w:pPr>
        <w:numPr>
          <w:ilvl w:val="0"/>
          <w:numId w:val="3"/>
        </w:numPr>
      </w:pPr>
      <w:r w:rsidRPr="00D22BB3">
        <w:t>Manage</w:t>
      </w:r>
      <w:r>
        <w:t>d tight deadlines and</w:t>
      </w:r>
      <w:r w:rsidRPr="00D22BB3">
        <w:t xml:space="preserve"> unexpected requirement changes</w:t>
      </w:r>
      <w:r w:rsidR="00935989">
        <w:t xml:space="preserve"> in</w:t>
      </w:r>
      <w:r w:rsidR="002734E4">
        <w:t xml:space="preserve"> test plans and system testing efforts for both System Integration Testing and User Acceptance Testing</w:t>
      </w:r>
      <w:r w:rsidR="00935989">
        <w:t xml:space="preserve"> (UATs).</w:t>
      </w:r>
    </w:p>
    <w:p w:rsidR="002734E4" w:rsidRDefault="002734E4" w:rsidP="002734E4">
      <w:pPr>
        <w:numPr>
          <w:ilvl w:val="0"/>
          <w:numId w:val="3"/>
        </w:numPr>
      </w:pPr>
      <w:r>
        <w:lastRenderedPageBreak/>
        <w:t>Ensured projects follow</w:t>
      </w:r>
      <w:r w:rsidR="00E125AC">
        <w:t>ed</w:t>
      </w:r>
      <w:r>
        <w:t xml:space="preserve"> project management procedures and meet Information Security policy requirements</w:t>
      </w:r>
    </w:p>
    <w:p w:rsidR="002734E4" w:rsidRDefault="002734E4" w:rsidP="002734E4">
      <w:pPr>
        <w:numPr>
          <w:ilvl w:val="0"/>
          <w:numId w:val="3"/>
        </w:numPr>
      </w:pPr>
      <w:r>
        <w:t>Worked with subject matter experts to produce relevant artifacts (process flow charts, user requirements, user guides, release notes)</w:t>
      </w:r>
    </w:p>
    <w:p w:rsidR="00923C03" w:rsidRDefault="00923C03" w:rsidP="00923C03">
      <w:pPr>
        <w:numPr>
          <w:ilvl w:val="0"/>
          <w:numId w:val="3"/>
        </w:numPr>
      </w:pPr>
      <w:r>
        <w:t>Assisted with M&amp;A due diligence in the Resolution and Receiverships process</w:t>
      </w:r>
      <w:r w:rsidR="003727A7">
        <w:t xml:space="preserve"> of 100+ banks.</w:t>
      </w:r>
    </w:p>
    <w:p w:rsidR="00923C03" w:rsidRDefault="00923C03" w:rsidP="00923C03">
      <w:pPr>
        <w:numPr>
          <w:ilvl w:val="0"/>
          <w:numId w:val="3"/>
        </w:numPr>
      </w:pPr>
      <w:r>
        <w:t xml:space="preserve">Analyzed, translated, and applied the legal and accounting intricacies of real estate loan-sales, owned real estate sales, large charge-offs, </w:t>
      </w:r>
      <w:r w:rsidRPr="007E55FF">
        <w:t>and other real estate based lending elements</w:t>
      </w:r>
      <w:r>
        <w:t>.</w:t>
      </w:r>
    </w:p>
    <w:p w:rsidR="005016B1" w:rsidRDefault="00923C03" w:rsidP="00923C03">
      <w:pPr>
        <w:numPr>
          <w:ilvl w:val="0"/>
          <w:numId w:val="3"/>
        </w:numPr>
      </w:pPr>
      <w:r>
        <w:t xml:space="preserve"> </w:t>
      </w:r>
      <w:r w:rsidR="00AD4024">
        <w:t>“Unwound</w:t>
      </w:r>
      <w:r w:rsidR="007E55FF">
        <w:t>” s</w:t>
      </w:r>
      <w:r w:rsidR="005016B1">
        <w:t>ecuritized REITs, REMICs, LLCs, as a Risk Share Asset Management (RSAM) Data Validation Processing (RDVP) Subject Matter Expert (SME).</w:t>
      </w:r>
    </w:p>
    <w:p w:rsidR="00525194" w:rsidRDefault="00525194" w:rsidP="00525194">
      <w:pPr>
        <w:numPr>
          <w:ilvl w:val="0"/>
          <w:numId w:val="3"/>
        </w:numPr>
      </w:pPr>
      <w:r>
        <w:t xml:space="preserve">Analyzed </w:t>
      </w:r>
      <w:r w:rsidRPr="00525194">
        <w:t xml:space="preserve">trends, costs, revenues, financial commitments, and obligations incurred to predict future revenues and expenses </w:t>
      </w:r>
    </w:p>
    <w:p w:rsidR="007E55FF" w:rsidRDefault="00FE5949" w:rsidP="00FE5949">
      <w:pPr>
        <w:numPr>
          <w:ilvl w:val="0"/>
          <w:numId w:val="3"/>
        </w:numPr>
      </w:pPr>
      <w:r>
        <w:t>P</w:t>
      </w:r>
      <w:r w:rsidRPr="00FE5949">
        <w:t xml:space="preserve">rocessed all ECTSO Loss Share Certificate Payment Vouchers &lt; $5MM </w:t>
      </w:r>
      <w:r>
        <w:t>as part of Treasury function</w:t>
      </w:r>
    </w:p>
    <w:p w:rsidR="00EA105F" w:rsidRDefault="00F973AB" w:rsidP="007E55FF">
      <w:pPr>
        <w:numPr>
          <w:ilvl w:val="0"/>
          <w:numId w:val="3"/>
        </w:numPr>
      </w:pPr>
      <w:r>
        <w:t xml:space="preserve">Lowered </w:t>
      </w:r>
      <w:r w:rsidR="00B43FB8">
        <w:t xml:space="preserve">the </w:t>
      </w:r>
      <w:r w:rsidR="00EA105F">
        <w:t xml:space="preserve">anticipated </w:t>
      </w:r>
      <w:r w:rsidR="00B43FB8">
        <w:t xml:space="preserve">US Treasury </w:t>
      </w:r>
      <w:r w:rsidR="00EA105F" w:rsidRPr="00EA105F">
        <w:t xml:space="preserve">Outlays for the Federal Deposit Insurance Corporation </w:t>
      </w:r>
      <w:r w:rsidR="00EA105F">
        <w:t xml:space="preserve">by </w:t>
      </w:r>
      <w:r w:rsidR="00EA105F" w:rsidRPr="00EA105F">
        <w:t>$8.0 billion</w:t>
      </w:r>
      <w:r w:rsidR="00EA105F">
        <w:t xml:space="preserve"> as “t</w:t>
      </w:r>
      <w:r w:rsidR="00EA105F" w:rsidRPr="00EA105F">
        <w:t>he difference was primarily attributable to lower-than-expected payments related to FDIC's resolution of failed insured depository institutions through its Deposit Insurance Fund</w:t>
      </w:r>
      <w:r w:rsidR="00EA105F">
        <w:t xml:space="preserve">,” justifiably due in-part to the RSAM-RDVP streamlining – See US Treasury Report in-full </w:t>
      </w:r>
      <w:r>
        <w:t xml:space="preserve">at link - </w:t>
      </w:r>
      <w:hyperlink r:id="rId13" w:history="1">
        <w:r w:rsidR="00EA105F" w:rsidRPr="0008131C">
          <w:rPr>
            <w:rStyle w:val="Hyperlink"/>
          </w:rPr>
          <w:t>http://www.treasury.gov/press-center/press-releases/Pages/jl2197.aspx</w:t>
        </w:r>
      </w:hyperlink>
    </w:p>
    <w:p w:rsidR="00F36DD9" w:rsidRPr="00F36DD9" w:rsidRDefault="00F36DD9" w:rsidP="00F36DD9">
      <w:pPr>
        <w:jc w:val="both"/>
        <w:rPr>
          <w:b/>
        </w:rPr>
      </w:pPr>
      <w:r w:rsidRPr="00F36DD9">
        <w:rPr>
          <w:b/>
        </w:rPr>
        <w:t xml:space="preserve">CPA-Accountant </w:t>
      </w:r>
      <w:r w:rsidR="00FF3EEE">
        <w:rPr>
          <w:b/>
        </w:rPr>
        <w:t>/ Consultant</w:t>
      </w:r>
    </w:p>
    <w:p w:rsidR="00F36DD9" w:rsidRPr="00F36DD9" w:rsidRDefault="00F973AB" w:rsidP="00F36DD9">
      <w:pPr>
        <w:jc w:val="both"/>
        <w:rPr>
          <w:b/>
        </w:rPr>
      </w:pPr>
      <w:r>
        <w:rPr>
          <w:b/>
        </w:rPr>
        <w:t>Agency-based c</w:t>
      </w:r>
      <w:r w:rsidR="00F36DD9" w:rsidRPr="00F36DD9">
        <w:rPr>
          <w:b/>
        </w:rPr>
        <w:t xml:space="preserve">ontractor at various </w:t>
      </w:r>
      <w:r>
        <w:rPr>
          <w:b/>
        </w:rPr>
        <w:t xml:space="preserve">Investment Banking and </w:t>
      </w:r>
      <w:r w:rsidR="00F36DD9" w:rsidRPr="00F36DD9">
        <w:rPr>
          <w:b/>
        </w:rPr>
        <w:t>CPA firms, New York, NY</w:t>
      </w:r>
      <w:r w:rsidR="00F36DD9" w:rsidRPr="00F36DD9">
        <w:rPr>
          <w:b/>
        </w:rPr>
        <w:tab/>
      </w:r>
      <w:r>
        <w:rPr>
          <w:b/>
        </w:rPr>
        <w:t xml:space="preserve">         </w:t>
      </w:r>
      <w:r w:rsidR="008F5148">
        <w:rPr>
          <w:b/>
        </w:rPr>
        <w:t>2001</w:t>
      </w:r>
      <w:r w:rsidR="00F36DD9" w:rsidRPr="00F36DD9">
        <w:rPr>
          <w:b/>
        </w:rPr>
        <w:t>-2010</w:t>
      </w:r>
    </w:p>
    <w:p w:rsidR="00EC05DD" w:rsidRDefault="00EC05DD" w:rsidP="00EC05DD">
      <w:pPr>
        <w:jc w:val="both"/>
      </w:pPr>
      <w:r>
        <w:t>BASIC ACCOUNTING FUNCTIONS ON UP THROUGH COMPLEX DERIVATIVES ACCOUNTING:</w:t>
      </w:r>
    </w:p>
    <w:p w:rsidR="00EC05DD" w:rsidRDefault="00EC05DD" w:rsidP="00EC05DD">
      <w:pPr>
        <w:numPr>
          <w:ilvl w:val="0"/>
          <w:numId w:val="3"/>
        </w:numPr>
      </w:pPr>
      <w:r>
        <w:t>Day-to-day management of the General Ledger</w:t>
      </w:r>
      <w:r w:rsidR="003727A7">
        <w:t xml:space="preserve">. </w:t>
      </w:r>
      <w:r>
        <w:t>Managed spreadsheets and generated monthly financial statements</w:t>
      </w:r>
      <w:r w:rsidR="003727A7">
        <w:t xml:space="preserve">. </w:t>
      </w:r>
      <w:r>
        <w:t>Assisted in month / quarter / year-end close functions</w:t>
      </w:r>
    </w:p>
    <w:p w:rsidR="00E53191" w:rsidRDefault="00E53191" w:rsidP="00EC05DD">
      <w:pPr>
        <w:numPr>
          <w:ilvl w:val="0"/>
          <w:numId w:val="3"/>
        </w:numPr>
      </w:pPr>
      <w:r>
        <w:t>Prepared complete set of financials including Balance Sheet, Profit/Loss Statement, Statement of Changes in Stockholder's Equity and Statement of Cash Flow</w:t>
      </w:r>
    </w:p>
    <w:p w:rsidR="00E53191" w:rsidRDefault="00E53191" w:rsidP="00E53191">
      <w:pPr>
        <w:numPr>
          <w:ilvl w:val="0"/>
          <w:numId w:val="3"/>
        </w:numPr>
      </w:pPr>
      <w:r>
        <w:t>Performed monthly Income/Expense Analysis report for management - locally and Head Office</w:t>
      </w:r>
    </w:p>
    <w:p w:rsidR="00E53191" w:rsidRDefault="00E53191" w:rsidP="00E53191">
      <w:pPr>
        <w:numPr>
          <w:ilvl w:val="0"/>
          <w:numId w:val="3"/>
        </w:numPr>
      </w:pPr>
      <w:r>
        <w:t xml:space="preserve">Computed Net Capital required for underwriting </w:t>
      </w:r>
      <w:r w:rsidR="007553FC">
        <w:t>deals.</w:t>
      </w:r>
    </w:p>
    <w:p w:rsidR="00E53191" w:rsidRDefault="00E53191" w:rsidP="00E53191">
      <w:pPr>
        <w:numPr>
          <w:ilvl w:val="0"/>
          <w:numId w:val="3"/>
        </w:numPr>
      </w:pPr>
      <w:r>
        <w:t>Worked with compliance and our FinOP to prepare and submit the monthly FOCUS report to FINRA</w:t>
      </w:r>
      <w:r w:rsidR="003727A7">
        <w:t xml:space="preserve">. </w:t>
      </w:r>
      <w:r>
        <w:t>Coordinated and completed semi-annual SIPC filings with compliance</w:t>
      </w:r>
    </w:p>
    <w:p w:rsidR="00D04961" w:rsidRDefault="00E53191" w:rsidP="00E53191">
      <w:pPr>
        <w:numPr>
          <w:ilvl w:val="0"/>
          <w:numId w:val="3"/>
        </w:numPr>
      </w:pPr>
      <w:r>
        <w:t xml:space="preserve">Worked with external tax consultants by assembling the appropriate financial information </w:t>
      </w:r>
    </w:p>
    <w:p w:rsidR="00E53191" w:rsidRDefault="00D04961" w:rsidP="00E53191">
      <w:pPr>
        <w:numPr>
          <w:ilvl w:val="0"/>
          <w:numId w:val="3"/>
        </w:numPr>
      </w:pPr>
      <w:r>
        <w:t>P</w:t>
      </w:r>
      <w:r w:rsidR="00E53191">
        <w:t>repar</w:t>
      </w:r>
      <w:r>
        <w:t>ed</w:t>
      </w:r>
      <w:r w:rsidR="00E53191">
        <w:t xml:space="preserve"> backup schedules necessary for the calculation of quarterly estimated corporate income tax</w:t>
      </w:r>
      <w:r w:rsidR="003727A7">
        <w:t xml:space="preserve">. </w:t>
      </w:r>
      <w:r w:rsidR="00E53191">
        <w:t>Calculated bank reconciliations and performed general accounting</w:t>
      </w:r>
    </w:p>
    <w:p w:rsidR="00A271B7" w:rsidRDefault="00A271B7" w:rsidP="003727A7">
      <w:pPr>
        <w:numPr>
          <w:ilvl w:val="0"/>
          <w:numId w:val="3"/>
        </w:numPr>
      </w:pPr>
      <w:r>
        <w:t>Recorded activity across multiple legal entities</w:t>
      </w:r>
      <w:r w:rsidR="003727A7">
        <w:t xml:space="preserve">. </w:t>
      </w:r>
      <w:r>
        <w:t>Responsible for tracking intercompany funding activity across several entities</w:t>
      </w:r>
    </w:p>
    <w:p w:rsidR="00A271B7" w:rsidRDefault="00A271B7" w:rsidP="00A271B7">
      <w:pPr>
        <w:numPr>
          <w:ilvl w:val="0"/>
          <w:numId w:val="3"/>
        </w:numPr>
      </w:pPr>
      <w:r>
        <w:t>Daily interaction across multiple support functions: Front Office, Regulatory, Treasury, Operations, Corporate Control, Information Technology</w:t>
      </w:r>
    </w:p>
    <w:p w:rsidR="00A271B7" w:rsidRDefault="00A271B7" w:rsidP="00A271B7">
      <w:pPr>
        <w:numPr>
          <w:ilvl w:val="0"/>
          <w:numId w:val="3"/>
        </w:numPr>
      </w:pPr>
      <w:r>
        <w:t>Created jour</w:t>
      </w:r>
      <w:r w:rsidR="003727A7">
        <w:t>nal entries and p</w:t>
      </w:r>
      <w:r>
        <w:t xml:space="preserve">repared month end </w:t>
      </w:r>
      <w:r w:rsidR="003727A7">
        <w:t>journal entries for Deals that we</w:t>
      </w:r>
      <w:r>
        <w:t>re not in systems</w:t>
      </w:r>
      <w:r w:rsidR="003727A7">
        <w:t xml:space="preserve"> which</w:t>
      </w:r>
      <w:r>
        <w:t xml:space="preserve"> entail</w:t>
      </w:r>
      <w:r w:rsidR="003727A7">
        <w:t>ed</w:t>
      </w:r>
      <w:r>
        <w:t xml:space="preserve"> understanding deal documents, flows, P&amp;L and Balance sheet components to record to GL.</w:t>
      </w:r>
    </w:p>
    <w:p w:rsidR="00923C03" w:rsidRDefault="00A271B7" w:rsidP="00A271B7">
      <w:pPr>
        <w:numPr>
          <w:ilvl w:val="0"/>
          <w:numId w:val="3"/>
        </w:numPr>
      </w:pPr>
      <w:r>
        <w:t>Month-end close responsibility, including General Ledger substantiation</w:t>
      </w:r>
      <w:r w:rsidR="003727A7">
        <w:t xml:space="preserve">. </w:t>
      </w:r>
      <w:r>
        <w:t>Involvement in quarterly disclosure preparation and review process</w:t>
      </w:r>
      <w:r w:rsidR="003727A7">
        <w:t xml:space="preserve">. </w:t>
      </w:r>
      <w:r>
        <w:t>Performed test cycles for system upgrades and change initiatives</w:t>
      </w:r>
      <w:r w:rsidR="003727A7">
        <w:t xml:space="preserve">.  </w:t>
      </w:r>
      <w:r w:rsidR="00923C03">
        <w:t>SEC 10-Q and 10-K filings including FAS 109 tax analysis notes</w:t>
      </w:r>
    </w:p>
    <w:p w:rsidR="003727A7" w:rsidRDefault="003727A7" w:rsidP="003727A7">
      <w:pPr>
        <w:ind w:left="360" w:firstLine="360"/>
        <w:jc w:val="both"/>
      </w:pPr>
      <w:r>
        <w:t xml:space="preserve">Audit, GAAP </w:t>
      </w:r>
      <w:r w:rsidRPr="005016B1">
        <w:t>(Generally Accepted Accounting Principles)</w:t>
      </w:r>
      <w:r>
        <w:t xml:space="preserve">, Accounting Policy and Operative Liaison where I performed cursory review and recommendations on accounting policy memorandums and pricing methodologies/justifications involving Manufactured Housing, Caps/Floors Skew Adjustments, ARMs (Adjustable Rate Mortgages), A-Strips, ABS Put-options, and others.  Viewed and reviewed FASB (Financial Accounting Standards Board) 125, 133, 140, and others as relevant, GAAP, and EITF (Emerging Issues Task Force) items.  Performed cursory review </w:t>
      </w:r>
      <w:r>
        <w:lastRenderedPageBreak/>
        <w:t>and recommendations on an extensive Draft-Memorandum dealing with issues involving pricing methodologies and accounting policy.  Worked with team to produce FAS 133 tax-accruals for $Billion Hedge-Funds.</w:t>
      </w:r>
    </w:p>
    <w:p w:rsidR="00D04961" w:rsidRDefault="003727A7" w:rsidP="003727A7">
      <w:pPr>
        <w:ind w:left="360" w:firstLine="360"/>
        <w:jc w:val="both"/>
      </w:pPr>
      <w:r w:rsidRPr="00A271B7">
        <w:t>Investment Advisers Act of 1940 compliance - compiled daily balance sheet and daily net asset value (NAV) of a $1/2 Billion mutual fund.  Reconciled cash, receivables, foreign currency (F/X) transactions, expenses, cost of investments, profit &amp; loss on sale of investments, and number of outstanding shares.  Accounting and reporting for a broad range of securities, repo and foreign-denominated securities. Prepared and maintained reference information and analytics of hedging activities in connection with the securities portfolio. Review accounting bookings and ensure suitability</w:t>
      </w:r>
      <w:r>
        <w:t>.</w:t>
      </w:r>
    </w:p>
    <w:p w:rsidR="003727A7" w:rsidRDefault="003727A7" w:rsidP="003727A7">
      <w:pPr>
        <w:ind w:left="360" w:firstLine="360"/>
        <w:jc w:val="both"/>
      </w:pPr>
    </w:p>
    <w:p w:rsidR="00F36DD9" w:rsidRPr="00F36DD9" w:rsidRDefault="00F36DD9" w:rsidP="00F36DD9">
      <w:pPr>
        <w:jc w:val="both"/>
        <w:rPr>
          <w:b/>
        </w:rPr>
      </w:pPr>
      <w:r w:rsidRPr="00F36DD9">
        <w:rPr>
          <w:b/>
        </w:rPr>
        <w:t xml:space="preserve">Attorney </w:t>
      </w:r>
      <w:r w:rsidR="008956CC">
        <w:rPr>
          <w:b/>
        </w:rPr>
        <w:t>–</w:t>
      </w:r>
      <w:r w:rsidRPr="00F36DD9">
        <w:rPr>
          <w:b/>
        </w:rPr>
        <w:t xml:space="preserve"> </w:t>
      </w:r>
      <w:r w:rsidR="008956CC" w:rsidRPr="00F36DD9">
        <w:rPr>
          <w:b/>
        </w:rPr>
        <w:t>Transactional</w:t>
      </w:r>
      <w:r w:rsidR="008956CC">
        <w:rPr>
          <w:b/>
        </w:rPr>
        <w:t xml:space="preserve">, Anti-trust, SEC, and </w:t>
      </w:r>
      <w:r w:rsidRPr="00F36DD9">
        <w:rPr>
          <w:b/>
        </w:rPr>
        <w:t>Litigation-Discovery</w:t>
      </w:r>
      <w:r w:rsidR="005016B1">
        <w:rPr>
          <w:b/>
        </w:rPr>
        <w:t xml:space="preserve"> / Consultant</w:t>
      </w:r>
    </w:p>
    <w:p w:rsidR="00F36DD9" w:rsidRPr="00F36DD9" w:rsidRDefault="00F973AB" w:rsidP="00F36DD9">
      <w:pPr>
        <w:jc w:val="both"/>
        <w:rPr>
          <w:b/>
        </w:rPr>
      </w:pPr>
      <w:r>
        <w:rPr>
          <w:b/>
        </w:rPr>
        <w:t>Agency-based attorney</w:t>
      </w:r>
      <w:r w:rsidR="00F36DD9" w:rsidRPr="00F36DD9">
        <w:rPr>
          <w:b/>
        </w:rPr>
        <w:t xml:space="preserve"> at various NYC law firms, New York, NY</w:t>
      </w:r>
      <w:r w:rsidR="00F36DD9" w:rsidRPr="00F36DD9">
        <w:rPr>
          <w:b/>
        </w:rPr>
        <w:tab/>
      </w:r>
      <w:r w:rsidR="00F36DD9" w:rsidRPr="00F36DD9">
        <w:rPr>
          <w:b/>
        </w:rPr>
        <w:tab/>
      </w:r>
      <w:r>
        <w:rPr>
          <w:b/>
        </w:rPr>
        <w:tab/>
      </w:r>
      <w:r w:rsidR="00F36DD9" w:rsidRPr="00F36DD9">
        <w:rPr>
          <w:b/>
        </w:rPr>
        <w:tab/>
        <w:t xml:space="preserve">         </w:t>
      </w:r>
      <w:r w:rsidR="008F5148">
        <w:rPr>
          <w:b/>
        </w:rPr>
        <w:t>2002</w:t>
      </w:r>
      <w:r w:rsidR="00F36DD9" w:rsidRPr="00F36DD9">
        <w:rPr>
          <w:b/>
        </w:rPr>
        <w:t>-2010</w:t>
      </w:r>
    </w:p>
    <w:p w:rsidR="00F36DD9" w:rsidRPr="00F36DD9" w:rsidRDefault="00F36DD9" w:rsidP="00F36DD9">
      <w:pPr>
        <w:jc w:val="both"/>
      </w:pPr>
      <w:r w:rsidRPr="00F36DD9">
        <w:t>Performed extensive document reviews covering Federal securities laws, statutes, rules and regulations, particularly those related to the Securities Act of 1933, the Securities Exchange Act of 1934, the Investment Company Act of 1940 and/or the Investment Advisers Act of 1940 in shareholder derivative litigation, as well as Department of Justice (DOJ), Federal Trade Commission (FTC) 2nd-request, and Hart Scott Rodino (HSR) Item 4(c) anti-trust reviews,. Performed NYS Supreme Court court-appearances as Default-Judgment presenter. Prior work also with ISDA Trades and Master Agreements for hedge-funds. Familiarity with LexisNexis, Westlaw, BNA, and other legal database research searches.</w:t>
      </w:r>
    </w:p>
    <w:p w:rsidR="00F973AB" w:rsidRDefault="00F973AB" w:rsidP="003528A0"/>
    <w:p w:rsidR="003528A0" w:rsidRDefault="0070069D" w:rsidP="003528A0">
      <w:pPr>
        <w:jc w:val="center"/>
        <w:rPr>
          <w:b/>
        </w:rPr>
      </w:pPr>
      <w:r>
        <w:rPr>
          <w:b/>
        </w:rPr>
        <w:t>S</w:t>
      </w:r>
      <w:r w:rsidR="003528A0">
        <w:rPr>
          <w:b/>
        </w:rPr>
        <w:t>KILLS</w:t>
      </w:r>
    </w:p>
    <w:p w:rsidR="00F77084" w:rsidRDefault="00FF3EEE" w:rsidP="00FF3EEE">
      <w:pPr>
        <w:ind w:firstLine="720"/>
        <w:jc w:val="both"/>
      </w:pPr>
      <w:r w:rsidRPr="005F4605">
        <w:t>CPA, Accounting,</w:t>
      </w:r>
      <w:r>
        <w:t xml:space="preserve"> </w:t>
      </w:r>
      <w:r w:rsidRPr="005F4605">
        <w:t>Auditing,</w:t>
      </w:r>
      <w:r>
        <w:t xml:space="preserve"> </w:t>
      </w:r>
      <w:r w:rsidRPr="005F4605">
        <w:t xml:space="preserve">Banking, Finance, </w:t>
      </w:r>
      <w:r w:rsidRPr="003528A0">
        <w:t xml:space="preserve">GAAP, </w:t>
      </w:r>
      <w:r w:rsidRPr="005F4605">
        <w:t>Tax,</w:t>
      </w:r>
      <w:r w:rsidRPr="003528A0">
        <w:t xml:space="preserve"> Credit</w:t>
      </w:r>
      <w:r>
        <w:t>,</w:t>
      </w:r>
      <w:r w:rsidRPr="003528A0">
        <w:t xml:space="preserve"> Compliance, Loans, Commercial Lending, </w:t>
      </w:r>
      <w:r>
        <w:t xml:space="preserve">Foreign Currency Transactions (F/X), </w:t>
      </w:r>
      <w:r w:rsidRPr="003528A0">
        <w:t xml:space="preserve">Portfolio Management, Credit Risk, </w:t>
      </w:r>
      <w:r w:rsidRPr="005F4605">
        <w:t>Risk Management, Fraud, Asset Management</w:t>
      </w:r>
      <w:r>
        <w:t>,</w:t>
      </w:r>
      <w:r w:rsidRPr="005F4605">
        <w:t xml:space="preserve"> </w:t>
      </w:r>
      <w:r w:rsidRPr="003528A0">
        <w:t xml:space="preserve">Internal Audit, Enterprise Risk, Valuation, Financial Statements, Cash Management, Investments, Financial Analysis, Credit Analysis, Financial Services, Corporate Finance, Loan Servicing, Financial Regulation, Cash Flow, Loss Mitigation, Financial Modeling, </w:t>
      </w:r>
      <w:r>
        <w:t>Account Reconciliation</w:t>
      </w:r>
      <w:r w:rsidRPr="003528A0">
        <w:t>.</w:t>
      </w:r>
    </w:p>
    <w:p w:rsidR="00FF3EEE" w:rsidRDefault="00F77084" w:rsidP="00FF3EEE">
      <w:pPr>
        <w:ind w:firstLine="720"/>
        <w:jc w:val="both"/>
      </w:pPr>
      <w:r w:rsidRPr="00F77084">
        <w:t>Attorney, Corporate Governance, Document Review, Executive Management, Financial Risk, Due Diligence, Dodd-Frank, Securities, Legal Issues, Sarbanes-Oxley Act, Mergers &amp; Acquisitions, Litigation, Structured Finance, Politics, Legal Documents, Financial Institutions, Bankruptcy, Writing.</w:t>
      </w:r>
    </w:p>
    <w:p w:rsidR="001B7FA8" w:rsidRDefault="001B7FA8" w:rsidP="00845E19">
      <w:pPr>
        <w:jc w:val="both"/>
      </w:pPr>
    </w:p>
    <w:p w:rsidR="00F77084" w:rsidRPr="001B7FA8" w:rsidRDefault="00F77084" w:rsidP="00F77084">
      <w:pPr>
        <w:jc w:val="center"/>
        <w:rPr>
          <w:b/>
        </w:rPr>
      </w:pPr>
      <w:r w:rsidRPr="001B7FA8">
        <w:rPr>
          <w:b/>
        </w:rPr>
        <w:t>EMPLOYMENT HISTORY</w:t>
      </w:r>
    </w:p>
    <w:p w:rsidR="00F77084" w:rsidRDefault="00F77084" w:rsidP="00F77084">
      <w:r>
        <w:t>Federal Deposit Insurance Corporation (FDIC), Jacksonville, FL</w:t>
      </w:r>
      <w:r>
        <w:tab/>
      </w:r>
      <w:r>
        <w:tab/>
      </w:r>
      <w:r>
        <w:tab/>
      </w:r>
      <w:r>
        <w:tab/>
        <w:t xml:space="preserve">      2010 – 2014</w:t>
      </w:r>
    </w:p>
    <w:p w:rsidR="00F77084" w:rsidRDefault="00F77084" w:rsidP="00F77084">
      <w:r>
        <w:t>Stuyvesant Town-Peter Cooper Village Tenants Association, NYC, NY</w:t>
      </w:r>
      <w:r>
        <w:tab/>
      </w:r>
      <w:r>
        <w:tab/>
      </w:r>
      <w:r>
        <w:tab/>
        <w:t xml:space="preserve">      2009 – 2010</w:t>
      </w:r>
    </w:p>
    <w:p w:rsidR="00F77084" w:rsidRDefault="00F77084" w:rsidP="00F77084">
      <w:r>
        <w:t>Friends For Gerson 2009, Parents’ Association of Stuyvesant High School, NYC, NY</w:t>
      </w:r>
      <w:r>
        <w:tab/>
        <w:t xml:space="preserve">      2008 – 2010</w:t>
      </w:r>
    </w:p>
    <w:p w:rsidR="00F77084" w:rsidRDefault="00F77084" w:rsidP="00F77084">
      <w:r>
        <w:t>Compliance, Inc., Geller &amp; Company, Hamilton &amp; MacAvery, CPA’s and others NYC, NY</w:t>
      </w:r>
      <w:r>
        <w:tab/>
        <w:t xml:space="preserve">      2003 – 2008</w:t>
      </w:r>
    </w:p>
    <w:p w:rsidR="00F77084" w:rsidRDefault="00F77084" w:rsidP="00F77084">
      <w:r>
        <w:t>JP Morgan Chase, Morgan Stanley, Freddie Mac and others</w:t>
      </w:r>
      <w:r>
        <w:tab/>
      </w:r>
      <w:r>
        <w:tab/>
      </w:r>
      <w:r>
        <w:tab/>
      </w:r>
      <w:r>
        <w:tab/>
        <w:t xml:space="preserve">      2001 – 2003</w:t>
      </w:r>
    </w:p>
    <w:p w:rsidR="00D04961" w:rsidRDefault="00D04961" w:rsidP="001B7FA8">
      <w:pPr>
        <w:jc w:val="center"/>
        <w:rPr>
          <w:b/>
        </w:rPr>
      </w:pPr>
    </w:p>
    <w:p w:rsidR="001B7FA8" w:rsidRPr="001B7FA8" w:rsidRDefault="0070069D" w:rsidP="001B7FA8">
      <w:pPr>
        <w:jc w:val="center"/>
        <w:rPr>
          <w:b/>
        </w:rPr>
      </w:pPr>
      <w:r>
        <w:rPr>
          <w:b/>
        </w:rPr>
        <w:t>LICENSES</w:t>
      </w:r>
    </w:p>
    <w:p w:rsidR="001B7FA8" w:rsidRDefault="001B7FA8" w:rsidP="001B7FA8">
      <w:r>
        <w:t>Attorney – Counsellor-at-Law</w:t>
      </w:r>
      <w:r>
        <w:tab/>
      </w:r>
      <w:r>
        <w:tab/>
      </w:r>
      <w:r>
        <w:tab/>
        <w:t>New York</w:t>
      </w:r>
      <w:r>
        <w:tab/>
        <w:t xml:space="preserve">     In</w:t>
      </w:r>
      <w:r w:rsidR="002917BF">
        <w:t xml:space="preserve"> Good Standing Through 6/16/2016</w:t>
      </w:r>
    </w:p>
    <w:p w:rsidR="001B7FA8" w:rsidRDefault="001B7FA8" w:rsidP="001B7FA8">
      <w:r>
        <w:t>CPA – Certified Public Accountant</w:t>
      </w:r>
      <w:r>
        <w:tab/>
      </w:r>
      <w:r>
        <w:tab/>
        <w:t>Maryland</w:t>
      </w:r>
      <w:r>
        <w:tab/>
        <w:t xml:space="preserve">           </w:t>
      </w:r>
      <w:r w:rsidR="0084339D">
        <w:t xml:space="preserve"> Active Status Through 8/18/2016</w:t>
      </w:r>
    </w:p>
    <w:p w:rsidR="001B7FA8" w:rsidRDefault="001B7FA8" w:rsidP="001B7FA8"/>
    <w:p w:rsidR="001B7FA8" w:rsidRPr="0070069D" w:rsidRDefault="0070069D" w:rsidP="0070069D">
      <w:pPr>
        <w:jc w:val="center"/>
        <w:rPr>
          <w:b/>
        </w:rPr>
      </w:pPr>
      <w:r>
        <w:rPr>
          <w:b/>
        </w:rPr>
        <w:t>EDUCATION</w:t>
      </w:r>
    </w:p>
    <w:p w:rsidR="001B7FA8" w:rsidRDefault="001B7FA8" w:rsidP="001B7FA8">
      <w:r>
        <w:t>J</w:t>
      </w:r>
      <w:r w:rsidR="0070069D">
        <w:t>D</w:t>
      </w:r>
      <w:r w:rsidR="0070069D">
        <w:tab/>
        <w:t>1997</w:t>
      </w:r>
      <w:r w:rsidR="0070069D">
        <w:tab/>
        <w:t>Law</w:t>
      </w:r>
      <w:r w:rsidR="0070069D">
        <w:tab/>
        <w:t xml:space="preserve">Brooklyn Law School </w:t>
      </w:r>
      <w:r w:rsidR="0070069D">
        <w:tab/>
      </w:r>
      <w:r w:rsidR="0070069D">
        <w:tab/>
      </w:r>
      <w:r w:rsidR="0070069D">
        <w:tab/>
      </w:r>
      <w:r w:rsidR="0070069D">
        <w:tab/>
      </w:r>
      <w:r w:rsidR="0070069D">
        <w:tab/>
      </w:r>
      <w:r w:rsidR="0070069D">
        <w:tab/>
        <w:t xml:space="preserve">     </w:t>
      </w:r>
      <w:r>
        <w:t>Brooklyn, NY</w:t>
      </w:r>
    </w:p>
    <w:p w:rsidR="001B7FA8" w:rsidRDefault="001B7FA8" w:rsidP="001B7FA8">
      <w:r>
        <w:t>MBA</w:t>
      </w:r>
      <w:r>
        <w:tab/>
        <w:t>1992</w:t>
      </w:r>
      <w:r>
        <w:tab/>
        <w:t>Finance/Accounting</w:t>
      </w:r>
      <w:r>
        <w:tab/>
        <w:t xml:space="preserve">Fordham University </w:t>
      </w:r>
      <w:r w:rsidR="0070069D">
        <w:tab/>
      </w:r>
      <w:r w:rsidR="0070069D">
        <w:tab/>
      </w:r>
      <w:r w:rsidR="0070069D">
        <w:tab/>
        <w:t xml:space="preserve">        </w:t>
      </w:r>
      <w:r>
        <w:t>Lincoln Center, NYC</w:t>
      </w:r>
    </w:p>
    <w:p w:rsidR="003528A0" w:rsidRPr="003528A0" w:rsidRDefault="001B7FA8" w:rsidP="001B7FA8">
      <w:r>
        <w:t>BA</w:t>
      </w:r>
      <w:r>
        <w:tab/>
        <w:t>1979</w:t>
      </w:r>
      <w:r>
        <w:tab/>
        <w:t>Fine Arts Magna Cum Laude</w:t>
      </w:r>
      <w:r>
        <w:tab/>
        <w:t xml:space="preserve">University of Maryland </w:t>
      </w:r>
      <w:r w:rsidR="0070069D">
        <w:tab/>
      </w:r>
      <w:r w:rsidR="0070069D">
        <w:tab/>
        <w:t xml:space="preserve"> </w:t>
      </w:r>
      <w:r>
        <w:t>College Park, Maryland</w:t>
      </w:r>
    </w:p>
    <w:sectPr w:rsidR="003528A0" w:rsidRPr="003528A0" w:rsidSect="005016B1">
      <w:headerReference w:type="default" r:id="rId14"/>
      <w:footerReference w:type="default" r:id="rId15"/>
      <w:footerReference w:type="first" r:id="rId16"/>
      <w:pgSz w:w="12240" w:h="15840"/>
      <w:pgMar w:top="282"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C7D" w:rsidRDefault="00F90C7D" w:rsidP="003528A0">
      <w:r>
        <w:separator/>
      </w:r>
    </w:p>
  </w:endnote>
  <w:endnote w:type="continuationSeparator" w:id="0">
    <w:p w:rsidR="00F90C7D" w:rsidRDefault="00F90C7D" w:rsidP="00352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8A0" w:rsidRDefault="003528A0">
    <w:pPr>
      <w:pStyle w:val="Footer"/>
      <w:jc w:val="center"/>
    </w:pPr>
    <w:r>
      <w:t xml:space="preserve">Page </w:t>
    </w:r>
    <w:sdt>
      <w:sdtPr>
        <w:id w:val="-910624265"/>
        <w:docPartObj>
          <w:docPartGallery w:val="Page Numbers (Bottom of Page)"/>
          <w:docPartUnique/>
        </w:docPartObj>
      </w:sdtPr>
      <w:sdtEndPr>
        <w:rPr>
          <w:noProof/>
        </w:rPr>
      </w:sdtEndPr>
      <w:sdtContent>
        <w:r w:rsidRPr="003528A0">
          <w:rPr>
            <w:b/>
          </w:rPr>
          <w:fldChar w:fldCharType="begin"/>
        </w:r>
        <w:r w:rsidRPr="003528A0">
          <w:rPr>
            <w:b/>
          </w:rPr>
          <w:instrText xml:space="preserve"> PAGE   \* MERGEFORMAT </w:instrText>
        </w:r>
        <w:r w:rsidRPr="003528A0">
          <w:rPr>
            <w:b/>
          </w:rPr>
          <w:fldChar w:fldCharType="separate"/>
        </w:r>
        <w:r w:rsidR="00F77084">
          <w:rPr>
            <w:b/>
            <w:noProof/>
          </w:rPr>
          <w:t>2</w:t>
        </w:r>
        <w:r w:rsidRPr="003528A0">
          <w:rPr>
            <w:b/>
            <w:noProof/>
          </w:rPr>
          <w:fldChar w:fldCharType="end"/>
        </w:r>
        <w:r w:rsidRPr="003528A0">
          <w:rPr>
            <w:b/>
            <w:noProof/>
          </w:rPr>
          <w:t xml:space="preserve"> </w:t>
        </w:r>
        <w:r>
          <w:rPr>
            <w:noProof/>
          </w:rPr>
          <w:t xml:space="preserve">of </w:t>
        </w:r>
        <w:r w:rsidR="00FF3EEE" w:rsidRPr="00FF3EEE">
          <w:rPr>
            <w:b/>
            <w:noProof/>
          </w:rPr>
          <w:fldChar w:fldCharType="begin"/>
        </w:r>
        <w:r w:rsidR="00FF3EEE" w:rsidRPr="00FF3EEE">
          <w:rPr>
            <w:b/>
            <w:noProof/>
          </w:rPr>
          <w:instrText xml:space="preserve"> NUMPAGES  \* Arabic  \* MERGEFORMAT </w:instrText>
        </w:r>
        <w:r w:rsidR="00FF3EEE" w:rsidRPr="00FF3EEE">
          <w:rPr>
            <w:b/>
            <w:noProof/>
          </w:rPr>
          <w:fldChar w:fldCharType="separate"/>
        </w:r>
        <w:r w:rsidR="00F77084">
          <w:rPr>
            <w:b/>
            <w:noProof/>
          </w:rPr>
          <w:t>3</w:t>
        </w:r>
        <w:r w:rsidR="00FF3EEE" w:rsidRPr="00FF3EEE">
          <w:rPr>
            <w:b/>
            <w:noProof/>
          </w:rPr>
          <w:fldChar w:fldCharType="end"/>
        </w:r>
      </w:sdtContent>
    </w:sdt>
  </w:p>
  <w:p w:rsidR="003528A0" w:rsidRDefault="003528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16B1" w:rsidRDefault="005016B1" w:rsidP="005016B1">
    <w:pPr>
      <w:pStyle w:val="Footer"/>
      <w:jc w:val="center"/>
    </w:pPr>
    <w:r>
      <w:t xml:space="preserve">Page </w:t>
    </w:r>
    <w:sdt>
      <w:sdtPr>
        <w:id w:val="2143150615"/>
        <w:docPartObj>
          <w:docPartGallery w:val="Page Numbers (Bottom of Page)"/>
          <w:docPartUnique/>
        </w:docPartObj>
      </w:sdtPr>
      <w:sdtEndPr>
        <w:rPr>
          <w:noProof/>
        </w:rPr>
      </w:sdtEndPr>
      <w:sdtContent>
        <w:r w:rsidRPr="003528A0">
          <w:rPr>
            <w:b/>
          </w:rPr>
          <w:fldChar w:fldCharType="begin"/>
        </w:r>
        <w:r w:rsidRPr="003528A0">
          <w:rPr>
            <w:b/>
          </w:rPr>
          <w:instrText xml:space="preserve"> PAGE   \* MERGEFORMAT </w:instrText>
        </w:r>
        <w:r w:rsidRPr="003528A0">
          <w:rPr>
            <w:b/>
          </w:rPr>
          <w:fldChar w:fldCharType="separate"/>
        </w:r>
        <w:r w:rsidR="0002021B">
          <w:rPr>
            <w:b/>
            <w:noProof/>
          </w:rPr>
          <w:t>1</w:t>
        </w:r>
        <w:r w:rsidRPr="003528A0">
          <w:rPr>
            <w:b/>
            <w:noProof/>
          </w:rPr>
          <w:fldChar w:fldCharType="end"/>
        </w:r>
        <w:r w:rsidRPr="003528A0">
          <w:rPr>
            <w:b/>
            <w:noProof/>
          </w:rPr>
          <w:t xml:space="preserve"> </w:t>
        </w:r>
        <w:r>
          <w:rPr>
            <w:noProof/>
          </w:rPr>
          <w:t xml:space="preserve">of </w:t>
        </w:r>
        <w:r w:rsidRPr="00FF3EEE">
          <w:rPr>
            <w:b/>
            <w:noProof/>
          </w:rPr>
          <w:fldChar w:fldCharType="begin"/>
        </w:r>
        <w:r w:rsidRPr="00FF3EEE">
          <w:rPr>
            <w:b/>
            <w:noProof/>
          </w:rPr>
          <w:instrText xml:space="preserve"> NUMPAGES  \* Arabic  \* MERGEFORMAT </w:instrText>
        </w:r>
        <w:r w:rsidRPr="00FF3EEE">
          <w:rPr>
            <w:b/>
            <w:noProof/>
          </w:rPr>
          <w:fldChar w:fldCharType="separate"/>
        </w:r>
        <w:r w:rsidR="0002021B">
          <w:rPr>
            <w:b/>
            <w:noProof/>
          </w:rPr>
          <w:t>3</w:t>
        </w:r>
        <w:r w:rsidRPr="00FF3EEE">
          <w:rPr>
            <w:b/>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C7D" w:rsidRDefault="00F90C7D" w:rsidP="003528A0">
      <w:r>
        <w:separator/>
      </w:r>
    </w:p>
  </w:footnote>
  <w:footnote w:type="continuationSeparator" w:id="0">
    <w:p w:rsidR="00F90C7D" w:rsidRDefault="00F90C7D" w:rsidP="003528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8A0" w:rsidRDefault="003528A0">
    <w:pPr>
      <w:pStyle w:val="Header"/>
      <w:rPr>
        <w:b/>
      </w:rPr>
    </w:pPr>
    <w:r w:rsidRPr="003528A0">
      <w:rPr>
        <w:b/>
      </w:rPr>
      <w:ptab w:relativeTo="margin" w:alignment="center" w:leader="none"/>
    </w:r>
    <w:r>
      <w:rPr>
        <w:b/>
      </w:rPr>
      <w:t>ALBERT GAVALIS</w:t>
    </w:r>
  </w:p>
  <w:p w:rsidR="003528A0" w:rsidRDefault="003528A0" w:rsidP="003528A0">
    <w:pPr>
      <w:pStyle w:val="Header"/>
      <w:jc w:val="center"/>
    </w:pPr>
    <w:r>
      <w:rPr>
        <w:b/>
      </w:rPr>
      <w:tab/>
      <w:t>212-529-2084</w:t>
    </w:r>
    <w:r w:rsidRPr="003528A0">
      <w:rPr>
        <w:b/>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7B0E11"/>
    <w:multiLevelType w:val="hybridMultilevel"/>
    <w:tmpl w:val="43581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9C67D4"/>
    <w:multiLevelType w:val="hybridMultilevel"/>
    <w:tmpl w:val="9C70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271B9E"/>
    <w:multiLevelType w:val="hybridMultilevel"/>
    <w:tmpl w:val="4B56B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C7E"/>
    <w:rsid w:val="00015005"/>
    <w:rsid w:val="0002021B"/>
    <w:rsid w:val="0006225C"/>
    <w:rsid w:val="00064E0E"/>
    <w:rsid w:val="00152C7E"/>
    <w:rsid w:val="001B7FA8"/>
    <w:rsid w:val="001E746B"/>
    <w:rsid w:val="0020333F"/>
    <w:rsid w:val="0027208C"/>
    <w:rsid w:val="002734E4"/>
    <w:rsid w:val="002917BF"/>
    <w:rsid w:val="002E1C9F"/>
    <w:rsid w:val="003528A0"/>
    <w:rsid w:val="003727A7"/>
    <w:rsid w:val="003818CD"/>
    <w:rsid w:val="00394496"/>
    <w:rsid w:val="00460DD5"/>
    <w:rsid w:val="00477FBF"/>
    <w:rsid w:val="004B68A3"/>
    <w:rsid w:val="004D7AAB"/>
    <w:rsid w:val="004E1E86"/>
    <w:rsid w:val="004F1B18"/>
    <w:rsid w:val="005016B1"/>
    <w:rsid w:val="00521EAD"/>
    <w:rsid w:val="00523C59"/>
    <w:rsid w:val="00525194"/>
    <w:rsid w:val="00583E3F"/>
    <w:rsid w:val="005A1058"/>
    <w:rsid w:val="0064466A"/>
    <w:rsid w:val="00671866"/>
    <w:rsid w:val="006830FF"/>
    <w:rsid w:val="006C02AC"/>
    <w:rsid w:val="006C59CF"/>
    <w:rsid w:val="006C74F4"/>
    <w:rsid w:val="0070069D"/>
    <w:rsid w:val="007553FC"/>
    <w:rsid w:val="00767F7A"/>
    <w:rsid w:val="007C4EAF"/>
    <w:rsid w:val="007E55FF"/>
    <w:rsid w:val="0084339D"/>
    <w:rsid w:val="00845E19"/>
    <w:rsid w:val="008618F8"/>
    <w:rsid w:val="00880D9F"/>
    <w:rsid w:val="008956CC"/>
    <w:rsid w:val="008A5914"/>
    <w:rsid w:val="008B0695"/>
    <w:rsid w:val="008F5148"/>
    <w:rsid w:val="00923C03"/>
    <w:rsid w:val="009242CD"/>
    <w:rsid w:val="00935989"/>
    <w:rsid w:val="00945D30"/>
    <w:rsid w:val="009A757F"/>
    <w:rsid w:val="00A10AF8"/>
    <w:rsid w:val="00A10F5D"/>
    <w:rsid w:val="00A271B7"/>
    <w:rsid w:val="00A27D0A"/>
    <w:rsid w:val="00A90D03"/>
    <w:rsid w:val="00AD4024"/>
    <w:rsid w:val="00AE64DB"/>
    <w:rsid w:val="00B34CB0"/>
    <w:rsid w:val="00B43FB8"/>
    <w:rsid w:val="00B57B8B"/>
    <w:rsid w:val="00C150B2"/>
    <w:rsid w:val="00CC69D4"/>
    <w:rsid w:val="00D04961"/>
    <w:rsid w:val="00D22BB3"/>
    <w:rsid w:val="00D51346"/>
    <w:rsid w:val="00D6443A"/>
    <w:rsid w:val="00D73A69"/>
    <w:rsid w:val="00E125AC"/>
    <w:rsid w:val="00E20BBD"/>
    <w:rsid w:val="00E40C1C"/>
    <w:rsid w:val="00E53191"/>
    <w:rsid w:val="00E80F7B"/>
    <w:rsid w:val="00E93E3D"/>
    <w:rsid w:val="00EA105F"/>
    <w:rsid w:val="00EA11AF"/>
    <w:rsid w:val="00EC05DD"/>
    <w:rsid w:val="00F16B97"/>
    <w:rsid w:val="00F36DD9"/>
    <w:rsid w:val="00F77084"/>
    <w:rsid w:val="00F90C7D"/>
    <w:rsid w:val="00F973AB"/>
    <w:rsid w:val="00FA2E67"/>
    <w:rsid w:val="00FD674C"/>
    <w:rsid w:val="00FE5949"/>
    <w:rsid w:val="00FF3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28A0"/>
    <w:rPr>
      <w:color w:val="0000FF" w:themeColor="hyperlink"/>
      <w:u w:val="single"/>
    </w:rPr>
  </w:style>
  <w:style w:type="paragraph" w:styleId="Header">
    <w:name w:val="header"/>
    <w:basedOn w:val="Normal"/>
    <w:link w:val="HeaderChar"/>
    <w:uiPriority w:val="99"/>
    <w:unhideWhenUsed/>
    <w:rsid w:val="003528A0"/>
    <w:pPr>
      <w:tabs>
        <w:tab w:val="center" w:pos="4680"/>
        <w:tab w:val="right" w:pos="9360"/>
      </w:tabs>
    </w:pPr>
  </w:style>
  <w:style w:type="character" w:customStyle="1" w:styleId="HeaderChar">
    <w:name w:val="Header Char"/>
    <w:basedOn w:val="DefaultParagraphFont"/>
    <w:link w:val="Header"/>
    <w:uiPriority w:val="99"/>
    <w:rsid w:val="003528A0"/>
  </w:style>
  <w:style w:type="paragraph" w:styleId="Footer">
    <w:name w:val="footer"/>
    <w:basedOn w:val="Normal"/>
    <w:link w:val="FooterChar"/>
    <w:uiPriority w:val="99"/>
    <w:unhideWhenUsed/>
    <w:rsid w:val="003528A0"/>
    <w:pPr>
      <w:tabs>
        <w:tab w:val="center" w:pos="4680"/>
        <w:tab w:val="right" w:pos="9360"/>
      </w:tabs>
    </w:pPr>
  </w:style>
  <w:style w:type="character" w:customStyle="1" w:styleId="FooterChar">
    <w:name w:val="Footer Char"/>
    <w:basedOn w:val="DefaultParagraphFont"/>
    <w:link w:val="Footer"/>
    <w:uiPriority w:val="99"/>
    <w:rsid w:val="003528A0"/>
  </w:style>
  <w:style w:type="paragraph" w:styleId="BalloonText">
    <w:name w:val="Balloon Text"/>
    <w:basedOn w:val="Normal"/>
    <w:link w:val="BalloonTextChar"/>
    <w:uiPriority w:val="99"/>
    <w:semiHidden/>
    <w:unhideWhenUsed/>
    <w:rsid w:val="003528A0"/>
    <w:rPr>
      <w:rFonts w:ascii="Tahoma" w:hAnsi="Tahoma" w:cs="Tahoma"/>
      <w:sz w:val="16"/>
      <w:szCs w:val="16"/>
    </w:rPr>
  </w:style>
  <w:style w:type="character" w:customStyle="1" w:styleId="BalloonTextChar">
    <w:name w:val="Balloon Text Char"/>
    <w:basedOn w:val="DefaultParagraphFont"/>
    <w:link w:val="BalloonText"/>
    <w:uiPriority w:val="99"/>
    <w:semiHidden/>
    <w:rsid w:val="003528A0"/>
    <w:rPr>
      <w:rFonts w:ascii="Tahoma" w:hAnsi="Tahoma" w:cs="Tahoma"/>
      <w:sz w:val="16"/>
      <w:szCs w:val="16"/>
    </w:rPr>
  </w:style>
  <w:style w:type="paragraph" w:styleId="ListParagraph">
    <w:name w:val="List Paragraph"/>
    <w:basedOn w:val="Normal"/>
    <w:uiPriority w:val="34"/>
    <w:qFormat/>
    <w:rsid w:val="008956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28A0"/>
    <w:rPr>
      <w:color w:val="0000FF" w:themeColor="hyperlink"/>
      <w:u w:val="single"/>
    </w:rPr>
  </w:style>
  <w:style w:type="paragraph" w:styleId="Header">
    <w:name w:val="header"/>
    <w:basedOn w:val="Normal"/>
    <w:link w:val="HeaderChar"/>
    <w:uiPriority w:val="99"/>
    <w:unhideWhenUsed/>
    <w:rsid w:val="003528A0"/>
    <w:pPr>
      <w:tabs>
        <w:tab w:val="center" w:pos="4680"/>
        <w:tab w:val="right" w:pos="9360"/>
      </w:tabs>
    </w:pPr>
  </w:style>
  <w:style w:type="character" w:customStyle="1" w:styleId="HeaderChar">
    <w:name w:val="Header Char"/>
    <w:basedOn w:val="DefaultParagraphFont"/>
    <w:link w:val="Header"/>
    <w:uiPriority w:val="99"/>
    <w:rsid w:val="003528A0"/>
  </w:style>
  <w:style w:type="paragraph" w:styleId="Footer">
    <w:name w:val="footer"/>
    <w:basedOn w:val="Normal"/>
    <w:link w:val="FooterChar"/>
    <w:uiPriority w:val="99"/>
    <w:unhideWhenUsed/>
    <w:rsid w:val="003528A0"/>
    <w:pPr>
      <w:tabs>
        <w:tab w:val="center" w:pos="4680"/>
        <w:tab w:val="right" w:pos="9360"/>
      </w:tabs>
    </w:pPr>
  </w:style>
  <w:style w:type="character" w:customStyle="1" w:styleId="FooterChar">
    <w:name w:val="Footer Char"/>
    <w:basedOn w:val="DefaultParagraphFont"/>
    <w:link w:val="Footer"/>
    <w:uiPriority w:val="99"/>
    <w:rsid w:val="003528A0"/>
  </w:style>
  <w:style w:type="paragraph" w:styleId="BalloonText">
    <w:name w:val="Balloon Text"/>
    <w:basedOn w:val="Normal"/>
    <w:link w:val="BalloonTextChar"/>
    <w:uiPriority w:val="99"/>
    <w:semiHidden/>
    <w:unhideWhenUsed/>
    <w:rsid w:val="003528A0"/>
    <w:rPr>
      <w:rFonts w:ascii="Tahoma" w:hAnsi="Tahoma" w:cs="Tahoma"/>
      <w:sz w:val="16"/>
      <w:szCs w:val="16"/>
    </w:rPr>
  </w:style>
  <w:style w:type="character" w:customStyle="1" w:styleId="BalloonTextChar">
    <w:name w:val="Balloon Text Char"/>
    <w:basedOn w:val="DefaultParagraphFont"/>
    <w:link w:val="BalloonText"/>
    <w:uiPriority w:val="99"/>
    <w:semiHidden/>
    <w:rsid w:val="003528A0"/>
    <w:rPr>
      <w:rFonts w:ascii="Tahoma" w:hAnsi="Tahoma" w:cs="Tahoma"/>
      <w:sz w:val="16"/>
      <w:szCs w:val="16"/>
    </w:rPr>
  </w:style>
  <w:style w:type="paragraph" w:styleId="ListParagraph">
    <w:name w:val="List Paragraph"/>
    <w:basedOn w:val="Normal"/>
    <w:uiPriority w:val="34"/>
    <w:qFormat/>
    <w:rsid w:val="00895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gavalis@yahoo.com" TargetMode="External"/><Relationship Id="rId13" Type="http://schemas.openxmlformats.org/officeDocument/2006/relationships/hyperlink" Target="http://www.treasury.gov/press-center/press-releases/Pages/jl2197.aspx"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federalreserve.gov/newsevents/press/bcreg/20140326a.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fdic.gov/bank/individual/failed/lossshare/lossshare_DataSpecs.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fdic.gov/bank/individual/failed/lossshare/" TargetMode="External"/><Relationship Id="rId4" Type="http://schemas.openxmlformats.org/officeDocument/2006/relationships/settings" Target="settings.xml"/><Relationship Id="rId9" Type="http://schemas.openxmlformats.org/officeDocument/2006/relationships/hyperlink" Target="http://www.aei.org/event/788"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1642</Words>
  <Characters>9361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Richard</dc:creator>
  <cp:lastModifiedBy>Pc Richard</cp:lastModifiedBy>
  <cp:revision>28</cp:revision>
  <dcterms:created xsi:type="dcterms:W3CDTF">2014-07-21T22:16:00Z</dcterms:created>
  <dcterms:modified xsi:type="dcterms:W3CDTF">2014-07-31T18:24:00Z</dcterms:modified>
</cp:coreProperties>
</file>