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Presentations.ai Pricing Page</w:t>
      </w:r>
    </w:p>
    <w:p>
      <w:pPr>
        <w:jc w:val="center"/>
      </w:pPr>
      <w:r>
        <w:rPr>
          <w:i/>
          <w:color w:val="525252"/>
          <w:sz w:val="28"/>
        </w:rPr>
        <w:t>Developer Documentation</w:t>
      </w:r>
    </w:p>
    <w:p>
      <w:pPr>
        <w:jc w:val="center"/>
      </w:pPr>
      <w:r>
        <w:rPr>
          <w:sz w:val="20"/>
        </w:rPr>
        <w:t>Prototype: index.html  |  Variant: export-pricing.html</w:t>
        <w:br/>
        <w:t>Repo: github.com/manivasakan-arch/pricing-20-4-2026 (fork of dhruv-saxena/pricing-20-4-2026)</w:t>
        <w:br/>
        <w:t>Branch: manivasakan-arch/dev-api-changes</w:t>
        <w:br/>
        <w:t>Live: manivasakan-arch.github.io/pricing-20-4-2026/</w:t>
      </w:r>
    </w:p>
    <w:p/>
    <w:p>
      <w:pPr>
        <w:pStyle w:val="Heading1"/>
      </w:pPr>
      <w:r>
        <w:t>1. Overview</w:t>
      </w:r>
    </w:p>
    <w:p>
      <w:r>
        <w:rPr>
          <w:b w:val="0"/>
          <w:i w:val="0"/>
        </w:rPr>
        <w:t>This prototype is a single-file HTML pricing page for Presentations.ai. It is designed to be embedded inside the product as a modal-style "pick a plan" screen at a fixed 1280px stage width, with full mobile responsive behavior below 768px. The page covers three audience views (Individual, Teams &amp; Enterprise, API), a feature comparison table, social-proof testimonials, a trust strip, and a sticky logo marquee footer.</w:t>
      </w:r>
    </w:p>
    <w:p>
      <w:r>
        <w:rPr>
          <w:b w:val="0"/>
          <w:i w:val="0"/>
        </w:rPr>
        <w:t>Two variants are maintained side by side:</w:t>
      </w:r>
    </w:p>
    <w:p>
      <w:pPr>
        <w:pStyle w:val="ListBullet"/>
      </w:pPr>
      <w:r>
        <w:t>index.html — the canonical pricing page used by all flows.</w:t>
      </w:r>
    </w:p>
    <w:p>
      <w:pPr>
        <w:pStyle w:val="ListBullet"/>
      </w:pPr>
      <w:r>
        <w:t>export-pricing.html — adds a one-time "Single Export" card (₹1,999 per PPT) to the Individual view, separated from the subscription trio by an "OR" divider.</w:t>
      </w:r>
    </w:p>
    <w:p>
      <w:r>
        <w:rPr>
          <w:b w:val="0"/>
          <w:i w:val="0"/>
        </w:rPr>
        <w:t>Both pages share the same component vocabulary, CSS tokens, and JavaScript behaviors. The export-pricing variant differs only in the Individual-view layout width and the extra Single Export + OR markup.</w:t>
      </w:r>
    </w:p>
    <w:p>
      <w:pPr>
        <w:pStyle w:val="Heading1"/>
      </w:pPr>
      <w:r>
        <w:t>2. File &amp; Asset Map</w:t>
      </w:r>
    </w:p>
    <w:p>
      <w:r>
        <w:rPr>
          <w:b w:val="0"/>
          <w:i w:val="0"/>
        </w:rPr>
        <w:t>The repo is intentionally flat — no build step, no bundler.</w:t>
      </w:r>
    </w:p>
    <w:p>
      <w:pPr>
        <w:spacing w:before="80" w:after="80"/>
        <w:ind w:left="360"/>
      </w:pPr>
      <w:r>
        <w:rPr>
          <w:rFonts w:ascii="Consolas" w:hAnsi="Consolas"/>
          <w:color w:val="333333"/>
          <w:sz w:val="19"/>
        </w:rPr>
        <w:t>belo-horizonte/</w:t>
        <w:br/>
        <w:t>├── index.html               # canonical pricing page</w:t>
        <w:br/>
        <w:t>├── export-pricing.html      # Single Export variant</w:t>
        <w:br/>
        <w:t>├── orange.html               # palette exploration (legacy)</w:t>
        <w:br/>
        <w:t>├── amber-palette.html        # palette exploration</w:t>
        <w:br/>
        <w:t>├── chip-colors.html          # chip palette exploration</w:t>
        <w:br/>
        <w:t>├── seats-10plus.html         # 10+ seat input exploration</w:t>
        <w:br/>
        <w:t>├── seats-10plus-chip.html    # chip-stepper exploration</w:t>
        <w:br/>
        <w:t>├── package.json              # only used to host the agentation dev dep</w:t>
        <w:br/>
        <w:t>├── assets/</w:t>
        <w:br/>
        <w:t>│   ├── api/                  # API tier card art + endpoint preview tiles</w:t>
        <w:br/>
        <w:t>│   ├── export/               # PowerPoint icon for Single Export</w:t>
        <w:br/>
        <w:t>│   ├── testimonials/         # team-tab portraits (Marcus, Desmond, Elena)</w:t>
        <w:br/>
        <w:t>│   └── trust/                # AICPA SOC 2 + GDPR badge SVGs</w:t>
        <w:br/>
        <w:t>└── .context/attachments/     # working files dropped in by the designer</w:t>
      </w:r>
    </w:p>
    <w:p>
      <w:r>
        <w:rPr>
          <w:b w:val="0"/>
          <w:i w:val="0"/>
        </w:rPr>
        <w:t>All other assets (Inter font, Phosphor icons, Tailwind CDN, Hedvig serif, Roboto Condensed) are loaded from public CDNs.</w:t>
      </w:r>
    </w:p>
    <w:p>
      <w:pPr>
        <w:pStyle w:val="Heading1"/>
      </w:pPr>
      <w:r>
        <w:t>3. External Dependencies (CDN-only)</w:t>
      </w:r>
    </w:p>
    <w:p>
      <w:pPr>
        <w:pStyle w:val="ListBullet"/>
      </w:pPr>
      <w:r>
        <w:t>Tailwind Play CDN — utility classes (no build).</w:t>
      </w:r>
    </w:p>
    <w:p>
      <w:pPr>
        <w:pStyle w:val="ListBullet"/>
      </w:pPr>
      <w:r>
        <w:t>Google Fonts: Inter (400–900), Hedvig Letters Serif, Instrument Serif, Roboto Condensed (400–700).</w:t>
      </w:r>
    </w:p>
    <w:p>
      <w:pPr>
        <w:pStyle w:val="ListBullet"/>
      </w:pPr>
      <w:r>
        <w:t>Phosphor Icons — regular, bold, and fill weights.</w:t>
      </w:r>
    </w:p>
    <w:p>
      <w:pPr>
        <w:pStyle w:val="ListBullet"/>
      </w:pPr>
      <w:r>
        <w:t>React 18 + ReactDOM 18 + agentation@3 (visual-feedback toolbar) loaded as ES modules from esm.sh. The toolbar mounts to a #agentation-root div at the end of body and is a development convenience only.</w:t>
      </w:r>
    </w:p>
    <w:p>
      <w:r>
        <w:rPr>
          <w:b w:val="0"/>
          <w:i w:val="0"/>
        </w:rPr>
        <w:t>There is no JS bundler, no TypeScript, and no framework. The page is one HTML file with inline &lt;style&gt; and &lt;script&gt; blocks plus a few absolute paths to /assets.</w:t>
      </w:r>
    </w:p>
    <w:p>
      <w:pPr>
        <w:pStyle w:val="Heading1"/>
      </w:pPr>
      <w:r>
        <w:t>4. Page Structure</w:t>
      </w:r>
    </w:p>
    <w:p>
      <w:r>
        <w:rPr>
          <w:b w:val="0"/>
          <w:i w:val="0"/>
        </w:rPr>
        <w:t>Top-level DOM in source order:</w:t>
      </w:r>
    </w:p>
    <w:p>
      <w:pPr>
        <w:pStyle w:val="ListNumber"/>
      </w:pPr>
      <w:r>
        <w:t>Outer stage: &lt;div class="relative mx-auto" style="width:1280px;"&gt;</w:t>
      </w:r>
    </w:p>
    <w:p>
      <w:pPr>
        <w:pStyle w:val="ListNumber"/>
      </w:pPr>
      <w:r>
        <w:t>Title ("Pick a plan that grows with you") — absolute, top-centered.</w:t>
      </w:r>
    </w:p>
    <w:p>
      <w:pPr>
        <w:pStyle w:val="ListNumber"/>
      </w:pPr>
      <w:r>
        <w:t>Close (X) button — absolute top-right.</w:t>
      </w:r>
    </w:p>
    <w:p>
      <w:pPr>
        <w:pStyle w:val="ListNumber"/>
      </w:pPr>
      <w:r>
        <w:t>Top segmented control [data-top-seg] — Individual / Teams &amp; Enterprise / API.</w:t>
      </w:r>
    </w:p>
    <w:p>
      <w:pPr>
        <w:pStyle w:val="ListNumber"/>
      </w:pPr>
      <w:r>
        <w:t>#view-individual — three pricing cards (Basic, Pro, Gold). Pro floats up 21px; Basic/Gold flank it with rounded outer corners only.</w:t>
      </w:r>
    </w:p>
    <w:p>
      <w:pPr>
        <w:pStyle w:val="ListNumber"/>
      </w:pPr>
      <w:r>
        <w:t>#view-team — three team cards (Pro Team, Gold Team, Enterprise) with seat-count chips.</w:t>
      </w:r>
    </w:p>
    <w:p>
      <w:pPr>
        <w:pStyle w:val="ListNumber"/>
      </w:pPr>
      <w:r>
        <w:t>#view-api — three API tier cards (Starter, Growth, Scale) with usage-based pricing.</w:t>
      </w:r>
    </w:p>
    <w:p>
      <w:pPr>
        <w:pStyle w:val="ListNumber"/>
      </w:pPr>
      <w:r>
        <w:t>800px spacer — reserves vertical room for the absolutely-positioned card row above.</w:t>
      </w:r>
    </w:p>
    <w:p>
      <w:pPr>
        <w:pStyle w:val="ListNumber"/>
      </w:pPr>
      <w:r>
        <w:t>#api-extras — Method (REST + MCP) and Endpoints (/Topic, /File, /SingleSlide). Visible only when the API view is active.</w:t>
      </w:r>
    </w:p>
    <w:p>
      <w:pPr>
        <w:pStyle w:val="ListNumber"/>
      </w:pPr>
      <w:r>
        <w:t>#below-views wrapper — testimonials (individual + team blocks), sticky compare summary, feature comparison table, trust strip. Hidden on the API view.</w:t>
      </w:r>
    </w:p>
    <w:p>
      <w:pPr>
        <w:pStyle w:val="ListNumber"/>
      </w:pPr>
      <w:r>
        <w:t>Trust strip — AICPA SOC 2 + GDPR badges + caption.</w:t>
      </w:r>
    </w:p>
    <w:p>
      <w:pPr>
        <w:pStyle w:val="ListNumber"/>
      </w:pPr>
      <w:r>
        <w:t>Bottom spacer (60px).</w:t>
      </w:r>
    </w:p>
    <w:p>
      <w:pPr>
        <w:pStyle w:val="ListNumber"/>
      </w:pPr>
      <w:r>
        <w:t>&lt;aside class="site-footer"&gt; — sticky social-proof footer ("Loved by 10M+" caption + animated logo marquee).</w:t>
      </w:r>
    </w:p>
    <w:p>
      <w:pPr>
        <w:pStyle w:val="ListNumber"/>
      </w:pPr>
      <w:r>
        <w:t>Feedback modal (#fb-modal) — close-intent survey that doubles the Pro discount.</w:t>
      </w:r>
    </w:p>
    <w:p>
      <w:pPr>
        <w:pStyle w:val="ListNumber"/>
      </w:pPr>
      <w:r>
        <w:t>Dev Console modal (#dc-modal) — confirmation dialog for the API "Go to Developer Console" CTAs.</w:t>
      </w:r>
    </w:p>
    <w:p>
      <w:pPr>
        <w:pStyle w:val="ListNumber"/>
      </w:pPr>
      <w:r>
        <w:t>Agentation root + esm.sh boot script.</w:t>
      </w:r>
    </w:p>
    <w:p>
      <w:pPr>
        <w:pStyle w:val="Heading1"/>
      </w:pPr>
      <w:r>
        <w:t>5. View Switching (top segmented control)</w:t>
      </w:r>
    </w:p>
    <w:p>
      <w:r>
        <w:rPr>
          <w:b w:val="0"/>
          <w:i w:val="0"/>
        </w:rPr>
        <w:t>setTopView(target) is the single source of truth for which audience view is active. It is invoked on click of any [data-top-seg] button and on initial load with target='individual'.</w:t>
      </w:r>
    </w:p>
    <w:p>
      <w:r>
        <w:rPr>
          <w:b w:val="0"/>
          <w:i w:val="0"/>
        </w:rPr>
        <w:t>Effects of setTopView(target):</w:t>
      </w:r>
    </w:p>
    <w:p>
      <w:pPr>
        <w:pStyle w:val="ListBullet"/>
      </w:pPr>
      <w:r>
        <w:t>Toggles .is-active and aria-selected on the segmented buttons.</w:t>
      </w:r>
    </w:p>
    <w:p>
      <w:pPr>
        <w:pStyle w:val="ListBullet"/>
      </w:pPr>
      <w:r>
        <w:t>Adds .hidden to all view containers (#view-individual / #view-team / #view-api) except the active one. .hidden is Tailwind's display:none.</w:t>
      </w:r>
    </w:p>
    <w:p>
      <w:pPr>
        <w:pStyle w:val="ListBullet"/>
      </w:pPr>
      <w:r>
        <w:t>Hides #below-views on target='api' (testimonials + comparison table only matter for subscription views).</w:t>
      </w:r>
    </w:p>
    <w:p>
      <w:pPr>
        <w:pStyle w:val="ListBullet"/>
      </w:pPr>
      <w:r>
        <w:t>Shows #api-extras only on target='api'.</w:t>
      </w:r>
    </w:p>
    <w:p>
      <w:pPr>
        <w:pStyle w:val="ListBullet"/>
      </w:pPr>
      <w:r>
        <w:t>Toggles testimonial blocks via [data-testimonials="individual"] and [data-testimonials="team"].</w:t>
      </w:r>
    </w:p>
    <w:p>
      <w:pPr>
        <w:pStyle w:val="ListBullet"/>
      </w:pPr>
      <w:r>
        <w:t>Sets document.body.dataset.topView = target — used by renderCompareSummary() and the mobile CSS to retarget the comparison table from 4 columns to 2 columns when on team.</w:t>
      </w:r>
    </w:p>
    <w:p>
      <w:pPr>
        <w:pStyle w:val="ListBullet"/>
      </w:pPr>
      <w:r>
        <w:t>Calls renderCompareSummary() so the sticky summary + table update to reflect the new view.</w:t>
      </w:r>
    </w:p>
    <w:p>
      <w:pPr>
        <w:pStyle w:val="Heading1"/>
      </w:pPr>
      <w:r>
        <w:t>6. Pricing, State, and Reactive Updates</w:t>
      </w:r>
    </w:p>
    <w:p>
      <w:pPr>
        <w:pStyle w:val="Heading2"/>
      </w:pPr>
      <w:r>
        <w:t>6.1 Pro card (individual view)</w:t>
      </w:r>
    </w:p>
    <w:p>
      <w:pPr>
        <w:pStyle w:val="ListBullet"/>
      </w:pPr>
      <w:r>
        <w:t>Annual: $20/mo billed annually (default). With the bump active, $15/mo.</w:t>
      </w:r>
    </w:p>
    <w:p>
      <w:pPr>
        <w:pStyle w:val="ListBullet"/>
      </w:pPr>
      <w:r>
        <w:t>Monthly: $40/mo billed monthly.</w:t>
      </w:r>
    </w:p>
    <w:p>
      <w:pPr>
        <w:pStyle w:val="ListBullet"/>
      </w:pPr>
      <w:r>
        <w:t>Bump = a 60-minute, $60-off, one-shot offer triggered when the user dismisses the close-intent feedback modal. Stored in localStorage as proBumpStart=&lt;timestamp&gt;; the timer counts down via setInterval and clears state on expiry.</w:t>
      </w:r>
    </w:p>
    <w:p>
      <w:pPr>
        <w:pStyle w:val="ListBullet"/>
      </w:pPr>
      <w:r>
        <w:t>DEV_RESET_ON_LOAD = true currently wipes bump/feedback state on every load — flip to false before shipping if you want the offer to persist.</w:t>
      </w:r>
    </w:p>
    <w:p>
      <w:pPr>
        <w:pStyle w:val="ListBullet"/>
      </w:pPr>
      <w:r>
        <w:t>renderPro() repaints: Pro card price block, Pro card credits (Pro annual = 5,000; Pro monthly = X,XXX placeholder), the sticky summary's Pro column, and the discount chip / hint text.</w:t>
      </w:r>
    </w:p>
    <w:p>
      <w:pPr>
        <w:pStyle w:val="Heading2"/>
      </w:pPr>
      <w:r>
        <w:t>6.2 Gold card (individual view)</w:t>
      </w:r>
    </w:p>
    <w:p>
      <w:pPr>
        <w:pStyle w:val="ListBullet"/>
      </w:pPr>
      <w:r>
        <w:t>Annual: $99/mo billed annually. Monthly: $199/mo billed monthly.</w:t>
      </w:r>
    </w:p>
    <w:p>
      <w:pPr>
        <w:pStyle w:val="ListBullet"/>
      </w:pPr>
      <w:r>
        <w:t>Switching to monthly shows a green "Switch to annual to save $1,200 per year" link below the CTA.</w:t>
      </w:r>
    </w:p>
    <w:p>
      <w:pPr>
        <w:pStyle w:val="ListBullet"/>
      </w:pPr>
      <w:r>
        <w:t>Gold's render(period) is exposed globally as window.renderGoldIndividual so renderCompareSummary can call it back when the user returns from the team view to the individual view.</w:t>
      </w:r>
    </w:p>
    <w:p>
      <w:pPr>
        <w:pStyle w:val="ListBullet"/>
      </w:pPr>
      <w:r>
        <w:t>Credits: Gold annual = 50,000; Gold monthly = 5,000.</w:t>
      </w:r>
    </w:p>
    <w:p>
      <w:pPr>
        <w:pStyle w:val="Heading2"/>
      </w:pPr>
      <w:r>
        <w:t>6.3 Team view (Pro Team + Gold Team)</w:t>
      </w:r>
    </w:p>
    <w:p>
      <w:r>
        <w:rPr>
          <w:b w:val="0"/>
          <w:i w:val="0"/>
        </w:rPr>
        <w:t>Both cards share teamState = { n, custom, hasTyped } so changing the seat count on one card mirrors on the other.</w:t>
      </w:r>
    </w:p>
    <w:p>
      <w:pPr>
        <w:pStyle w:val="ListBullet"/>
      </w:pPr>
      <w:r>
        <w:t>Pro team tiers: 1–4 = $20/seat, 5–9 = $18/seat, 10+ = $17/seat. 5,000 credits per seat.</w:t>
      </w:r>
    </w:p>
    <w:p>
      <w:pPr>
        <w:pStyle w:val="ListBullet"/>
      </w:pPr>
      <w:r>
        <w:t>Gold team tiers: 1–4 = $99/seat, 5–9 = $89/seat, 10+ = $84/seat. 50,000 credits per seat.</w:t>
      </w:r>
    </w:p>
    <w:p>
      <w:pPr>
        <w:pStyle w:val="ListBullet"/>
      </w:pPr>
      <w:r>
        <w:t>Default is 5 seats with the "MOST BOUGHT" badge on the chip. Custom = inline minus / number-input / plus stepper inside the chip; clamps to 10–999.</w:t>
      </w:r>
    </w:p>
    <w:p>
      <w:pPr>
        <w:pStyle w:val="ListBullet"/>
      </w:pPr>
      <w:r>
        <w:t>renderAllTeams() runs on every chip click / +/- press / typed value and: (a) repaints both team cards, (b) calls renderCompareSummary() which swaps the comparison table between 3-col (individual / api) and 2-col (team) plus updates the sticky-summary totals and credits row.</w:t>
      </w:r>
    </w:p>
    <w:p>
      <w:pPr>
        <w:pStyle w:val="Heading2"/>
      </w:pPr>
      <w:r>
        <w:t>6.4 API view (Starter / Growth / Scale)</w:t>
      </w:r>
    </w:p>
    <w:p>
      <w:pPr>
        <w:pStyle w:val="ListBullet"/>
      </w:pPr>
      <w:r>
        <w:t>Starter $199/mo, Growth $499/mo (featured), Scale $1,999/mo. No period toggle — flat usage tiers.</w:t>
      </w:r>
    </w:p>
    <w:p>
      <w:pPr>
        <w:pStyle w:val="ListBullet"/>
      </w:pPr>
      <w:r>
        <w:t>CTAs are buttons with [data-buy-now] data-plan="&lt;tier&gt;" — clicking opens the Dev Console confirmation modal (#dc-modal). The modal's "Continue" opens https://console.presentations.ai in a new tab.</w:t>
      </w:r>
    </w:p>
    <w:p>
      <w:pPr>
        <w:pStyle w:val="ListBullet"/>
      </w:pPr>
      <w:r>
        <w:t>#api-extras renders below the cards on the API tab only: a "Method" section (REST + MCP integration cards) and an "End points" section (3 cards with preview-image footers — /Topic, /File, /SingleSlide).</w:t>
      </w:r>
    </w:p>
    <w:p>
      <w:pPr>
        <w:pStyle w:val="Heading2"/>
      </w:pPr>
      <w:r>
        <w:t>6.5 Compare summary + feature table</w:t>
      </w:r>
    </w:p>
    <w:p>
      <w:r>
        <w:rPr>
          <w:b w:val="0"/>
          <w:i w:val="0"/>
        </w:rPr>
        <w:t>renderCompareSummary() is the bridge between view state and the table:</w:t>
      </w:r>
    </w:p>
    <w:p>
      <w:pPr>
        <w:pStyle w:val="ListBullet"/>
      </w:pPr>
      <w:r>
        <w:t>On team view: rewrites sum-pro-price / sum-gold-price to show seats × tier rate, rewrites cadence to "N seats · billed annually", and changes both CTAs to "Buy N Seats". Updates table-pro-credits / table-gold-credits to N × creditsPerSeat.</w:t>
      </w:r>
    </w:p>
    <w:p>
      <w:pPr>
        <w:pStyle w:val="ListBullet"/>
      </w:pPr>
      <w:r>
        <w:t>On individual view: resets Gold summary to the static $99 / Buy Gold defaults, calls renderPro() to repaint the Pro column, and calls window.renderGoldIndividual(period) to repaint Gold card credits without touching the table (the table stays at the annual figures).</w:t>
      </w:r>
    </w:p>
    <w:p>
      <w:pPr>
        <w:pStyle w:val="ListBullet"/>
      </w:pPr>
      <w:r>
        <w:t>On api view: not called (the table is hidden anyway by setTopView).</w:t>
      </w:r>
    </w:p>
    <w:p>
      <w:pPr>
        <w:pStyle w:val="ListBullet"/>
      </w:pPr>
      <w:r>
        <w:t>body[data-top-view="team"] CSS rule retargets every .pricing-grid from 4 columns to 3 and hides every 4n+2 child (the Basic slot in both the sticky summary and each feature row).</w:t>
      </w:r>
    </w:p>
    <w:p>
      <w:pPr>
        <w:pStyle w:val="Heading1"/>
      </w:pPr>
      <w:r>
        <w:t>7. Feedback Modal (close-intent → bump)</w:t>
      </w:r>
    </w:p>
    <w:p>
      <w:r>
        <w:rPr>
          <w:b w:val="0"/>
          <w:i w:val="0"/>
        </w:rPr>
        <w:t>When the user clicks the outer Close (X) button and they have not already submitted the survey or claimed the bump in the current session, window.openFeedbackModal() fires the modal instead of closing the page.</w:t>
      </w:r>
    </w:p>
    <w:p>
      <w:pPr>
        <w:pStyle w:val="ListNumber"/>
      </w:pPr>
      <w:r>
        <w:t>Step 1: Survey form. User picks a sentiment smiley + chooses one improvement chip. The Submit button is disabled until both are selected.</w:t>
      </w:r>
    </w:p>
    <w:p>
      <w:pPr>
        <w:pStyle w:val="ListNumber"/>
      </w:pPr>
      <w:r>
        <w:t>Step 2: Success. "Thank you — we've unlocked $60 off Pro Annual for one hour." Counts down via setInterval. The Claim CTA calls window.applyProBump() which writes proBumpStart, forces the Pro period to annual, repaints the Pro card with the discounted $15 price + bump pill, and starts the 60-minute countdown.</w:t>
      </w:r>
    </w:p>
    <w:p>
      <w:r>
        <w:rPr>
          <w:b w:val="0"/>
          <w:i w:val="0"/>
        </w:rPr>
        <w:t>Session storage flags (proFeedbackSubmitted, proBumpOffered) prevent re-prompting in the same tab.</w:t>
      </w:r>
    </w:p>
    <w:p>
      <w:pPr>
        <w:pStyle w:val="Heading1"/>
      </w:pPr>
      <w:r>
        <w:t>8. Agentation (in-page feedback toolbar)</w:t>
      </w:r>
    </w:p>
    <w:p>
      <w:r>
        <w:rPr>
          <w:b w:val="0"/>
          <w:i w:val="0"/>
        </w:rPr>
        <w:t>The Agentation React component is mounted at the end of the body for design-review feedback (click an element, leave a note, copy a structured payload). It is loaded from esm.sh because the page has no bundler:</w:t>
      </w:r>
    </w:p>
    <w:p>
      <w:pPr>
        <w:spacing w:before="80" w:after="80"/>
        <w:ind w:left="360"/>
      </w:pPr>
      <w:r>
        <w:rPr>
          <w:rFonts w:ascii="Consolas" w:hAnsi="Consolas"/>
          <w:color w:val="333333"/>
          <w:sz w:val="19"/>
        </w:rPr>
        <w:t>&lt;div id="agentation-root"&gt;&lt;/div&gt;</w:t>
        <w:br/>
        <w:t>&lt;script type="module"&gt;</w:t>
        <w:br/>
        <w:t xml:space="preserve">  import React from 'https://esm.sh/react@18';</w:t>
        <w:br/>
        <w:t xml:space="preserve">  import { createRoot } from 'https://esm.sh/react-dom@18/client';</w:t>
        <w:br/>
        <w:t xml:space="preserve">  import { Agentation } from 'https://esm.sh/agentation@3?deps=react@18,react-dom@18';</w:t>
        <w:br/>
        <w:t xml:space="preserve">  createRoot(document.getElementById('agentation-root'))</w:t>
        <w:br/>
        <w:t xml:space="preserve">    .render(React.createElement(Agentation));</w:t>
        <w:br/>
        <w:t>&lt;/script&gt;</w:t>
      </w:r>
    </w:p>
    <w:p>
      <w:r>
        <w:rPr>
          <w:b w:val="0"/>
          <w:i w:val="0"/>
        </w:rPr>
        <w:t>Remove this block before shipping to production — it adds a floating toolbar in the bottom-right corner.</w:t>
      </w:r>
    </w:p>
    <w:p>
      <w:pPr>
        <w:pStyle w:val="Heading1"/>
      </w:pPr>
      <w:r>
        <w:t>9. Responsive Behavior</w:t>
      </w:r>
    </w:p>
    <w:p>
      <w:pPr>
        <w:pStyle w:val="Heading2"/>
      </w:pPr>
      <w:r>
        <w:t>9.1 Desktop ≥ 1280px</w:t>
      </w:r>
    </w:p>
    <w:p>
      <w:r>
        <w:rPr>
          <w:b w:val="0"/>
          <w:i w:val="0"/>
        </w:rPr>
        <w:t>The 1280px stage renders 1:1. Cards are absolutely positioned within each #view-* container (960×624 grid for the canonical layout, or 1488×624 widened layout for export-pricing's Individual view to fit the Single Export + OR divider).</w:t>
      </w:r>
    </w:p>
    <w:p>
      <w:r>
        <w:rPr>
          <w:b w:val="0"/>
          <w:i w:val="0"/>
        </w:rPr>
        <w:t>export-pricing.html scales the entire stage proportionally on viewports between 1488+160=1648px and 768px so the card row never touches the viewport edges:</w:t>
      </w:r>
    </w:p>
    <w:p>
      <w:pPr>
        <w:spacing w:before="80" w:after="80"/>
        <w:ind w:left="360"/>
      </w:pPr>
      <w:r>
        <w:rPr>
          <w:rFonts w:ascii="Consolas" w:hAnsi="Consolas"/>
          <w:color w:val="333333"/>
          <w:sz w:val="19"/>
        </w:rPr>
        <w:t>body &gt; .relative.mx-auto {</w:t>
        <w:br/>
        <w:t xml:space="preserve">  transform: scale(min(1, calc((100vw - 160px) / 1488px)));</w:t>
        <w:br/>
        <w:t xml:space="preserve">  transform-origin: top center;</w:t>
        <w:br/>
        <w:t>}</w:t>
      </w:r>
    </w:p>
    <w:p>
      <w:pPr>
        <w:pStyle w:val="Heading2"/>
      </w:pPr>
      <w:r>
        <w:t>9.2 Mobile ≤ 768px</w:t>
      </w:r>
    </w:p>
    <w:p>
      <w:r>
        <w:rPr>
          <w:b w:val="0"/>
          <w:i w:val="0"/>
        </w:rPr>
        <w:t>A single @media (max-width: 768px) block in each file rewires the layout. The viewport meta is set to width=device-width, initial-scale=1 so the media query actually fires on phones (an earlier width=1280 setting was preventing this).</w:t>
      </w:r>
    </w:p>
    <w:p>
      <w:pPr>
        <w:pStyle w:val="ListBullet"/>
      </w:pPr>
      <w:r>
        <w:t>Outer stage: full width, no scale, padding 0 16px 96px (96px reserves room for the sticky footer).</w:t>
      </w:r>
    </w:p>
    <w:p>
      <w:pPr>
        <w:pStyle w:val="ListBullet"/>
      </w:pPr>
      <w:r>
        <w:t>Title, top-seg, Close button: position:static (top-seg is sticky to top:0 with z-index:50); Close button is fixed at top:10/right:10.</w:t>
      </w:r>
    </w:p>
    <w:p>
      <w:pPr>
        <w:pStyle w:val="ListBullet"/>
      </w:pPr>
      <w:r>
        <w:t>Each #view-* container becomes display:flex; flex-direction:column with .hidden honored so only the active tab's cards render.</w:t>
      </w:r>
    </w:p>
    <w:p>
      <w:pPr>
        <w:pStyle w:val="ListBullet"/>
      </w:pPr>
      <w:r>
        <w:t>Cards reset position:static, width:100%, max-width:420px, centered, with consistent border + radius. .pro-card-bg gets order:-1 so Pro is always at the top of every view's stack.</w:t>
      </w:r>
    </w:p>
    <w:p>
      <w:pPr>
        <w:pStyle w:val="ListBullet"/>
      </w:pPr>
      <w:r>
        <w:t>Comparison table block (.compare-block) and hover tooltips (.plan-hint) are hidden.</w:t>
      </w:r>
    </w:p>
    <w:p>
      <w:pPr>
        <w:pStyle w:val="ListBullet"/>
      </w:pPr>
      <w:r>
        <w:t>Site footer flips to position:fixed; bottom:0 with the "Loved by 10M+" caption stacked above the full-width logo marquee (the row's flex-direction is forced to column).</w:t>
      </w:r>
    </w:p>
    <w:p>
      <w:pPr>
        <w:pStyle w:val="ListBullet"/>
      </w:pPr>
      <w:r>
        <w:t>Feedback modal stacks vertically with the offer panel (gift / tag / $60 off title) on top and the survey form below; gift emoji forced to display:block so the tag drops to its own line.</w:t>
      </w:r>
    </w:p>
    <w:p>
      <w:r>
        <w:rPr>
          <w:b w:val="0"/>
          <w:i w:val="0"/>
        </w:rPr>
        <w:t>export-pricing.html mobile additions:</w:t>
      </w:r>
    </w:p>
    <w:p>
      <w:pPr>
        <w:pStyle w:val="ListBullet"/>
      </w:pPr>
      <w:r>
        <w:t>Single Export card visible (order:-3), followed by the OR divider (order:-2) restyled as a horizontal dashed rule, then Pro/Basic/Gold below.</w:t>
      </w:r>
    </w:p>
    <w:p>
      <w:pPr>
        <w:pStyle w:val="ListBullet"/>
      </w:pPr>
      <w:r>
        <w:t>Seat-chip-row's fixed 312px width released to 100% on the team view so chips align with the Buy-N-Seats button below.</w:t>
      </w:r>
    </w:p>
    <w:p>
      <w:pPr>
        <w:pStyle w:val="Heading1"/>
      </w:pPr>
      <w:r>
        <w:t>10. CSS Tokens &amp; Naming</w:t>
      </w:r>
    </w:p>
    <w:p>
      <w:r>
        <w:rPr>
          <w:b w:val="0"/>
          <w:i w:val="0"/>
        </w:rPr>
        <w:t>Tailwind's CDN config defines the brand palette inline at the top of each file:</w:t>
      </w:r>
    </w:p>
    <w:p>
      <w:pPr>
        <w:pStyle w:val="ListBullet"/>
      </w:pPr>
      <w:r>
        <w:t>brand: { 50, 500, secondary, ... } — orange family (#ff5500 primary).</w:t>
      </w:r>
    </w:p>
    <w:p>
      <w:pPr>
        <w:pStyle w:val="ListBullet"/>
      </w:pPr>
      <w:r>
        <w:t>ink: { primary, secondary, tertiary } — neutral text scale.</w:t>
      </w:r>
    </w:p>
    <w:p>
      <w:pPr>
        <w:pStyle w:val="ListBullet"/>
      </w:pPr>
      <w:r>
        <w:t>primary / tertiary border colors: #e5e5e5 / #f5f5f5.</w:t>
      </w:r>
    </w:p>
    <w:p>
      <w:pPr>
        <w:pStyle w:val="ListBullet"/>
      </w:pPr>
      <w:r>
        <w:t>success: { bg #dcfce7, fg #16a34a } — used for save links + check-circle icons.</w:t>
      </w:r>
    </w:p>
    <w:p>
      <w:r>
        <w:rPr>
          <w:b w:val="0"/>
          <w:i w:val="0"/>
        </w:rPr>
        <w:t>Hand-rolled component classes with their purpose:</w:t>
      </w:r>
    </w:p>
    <w:p>
      <w:pPr>
        <w:pStyle w:val="ListBullet"/>
      </w:pPr>
      <w:r>
        <w:t>.plan-seg / .plan-seg-btn — Monthly / Annual tabs on Pro &amp; Gold.</w:t>
      </w:r>
    </w:p>
    <w:p>
      <w:pPr>
        <w:pStyle w:val="ListBullet"/>
      </w:pPr>
      <w:r>
        <w:t>.pro-card-bg / .pro-btn / .pro-cta-wrap — featured-card visual treatment.</w:t>
      </w:r>
    </w:p>
    <w:p>
      <w:pPr>
        <w:pStyle w:val="ListBullet"/>
      </w:pPr>
      <w:r>
        <w:t>.pro-discount-chip / .pro-bumped-pill — bump-state chips with bob + glow keyframes.</w:t>
      </w:r>
    </w:p>
    <w:p>
      <w:pPr>
        <w:pStyle w:val="ListBullet"/>
      </w:pPr>
      <w:r>
        <w:t>.plan-hint — soft white tooltip bubble that appears on section:hover.</w:t>
      </w:r>
    </w:p>
    <w:p>
      <w:pPr>
        <w:pStyle w:val="ListBullet"/>
      </w:pPr>
      <w:r>
        <w:t>.seat-chip-row / .seat-chip / .seat-chip-stepper / .seat-chip-input — team seat selector.</w:t>
      </w:r>
    </w:p>
    <w:p>
      <w:pPr>
        <w:pStyle w:val="ListBullet"/>
      </w:pPr>
      <w:r>
        <w:t>.feature-row-label / .feature-row-cell / .feature-tip — comparison table primitives.</w:t>
      </w:r>
    </w:p>
    <w:p>
      <w:pPr>
        <w:pStyle w:val="ListBullet"/>
      </w:pPr>
      <w:r>
        <w:t>.pricing-grid — added to the sticky summary AND every feature grid; the body[data-top-view="team"] rule uses it to drop the Basic column.</w:t>
      </w:r>
    </w:p>
    <w:p>
      <w:pPr>
        <w:pStyle w:val="ListBullet"/>
      </w:pPr>
      <w:r>
        <w:t>.compare-block — composite class on the sticky summary + feature table sections, flipped to display:none on mobile.</w:t>
      </w:r>
    </w:p>
    <w:p>
      <w:pPr>
        <w:pStyle w:val="ListBullet"/>
      </w:pPr>
      <w:r>
        <w:t>.ep-card / .ep-footer — API endpoint card + flat-image preview footer.</w:t>
      </w:r>
    </w:p>
    <w:p>
      <w:pPr>
        <w:pStyle w:val="ListBullet"/>
      </w:pPr>
      <w:r>
        <w:t>.dc-card / .dc-btn-primary / .dc-btn-secondary — Dev Console confirmation modal.</w:t>
      </w:r>
    </w:p>
    <w:p>
      <w:pPr>
        <w:pStyle w:val="ListBullet"/>
      </w:pPr>
      <w:r>
        <w:t>.fb-* — feedback modal (.fb-card, .fb-survey-wrap, .fb-panel-left, .fb-right-col, .fb-smiley, .fb-chip, .fb-btn-primary, etc.).</w:t>
      </w:r>
    </w:p>
    <w:p>
      <w:pPr>
        <w:pStyle w:val="ListBullet"/>
      </w:pPr>
      <w:r>
        <w:t>.sp-wrap / .sp-track / .sp-logo — social-proof marquee primitives.</w:t>
      </w:r>
    </w:p>
    <w:p>
      <w:pPr>
        <w:pStyle w:val="Heading1"/>
      </w:pPr>
      <w:r>
        <w:t>11. JavaScript Entry Points</w:t>
      </w:r>
    </w:p>
    <w:p>
      <w:r>
        <w:rPr>
          <w:b w:val="0"/>
          <w:i w:val="0"/>
        </w:rPr>
        <w:t>All page logic lives inside one IIFE in &lt;script&gt; at the bottom of body. Notable globals exposed on window for cross-IIFE coordination:</w:t>
      </w:r>
    </w:p>
    <w:p>
      <w:pPr>
        <w:pStyle w:val="ListBullet"/>
      </w:pPr>
      <w:r>
        <w:t>window.openFeedbackModal — invoked by the outer Close button.</w:t>
      </w:r>
    </w:p>
    <w:p>
      <w:pPr>
        <w:pStyle w:val="ListBullet"/>
      </w:pPr>
      <w:r>
        <w:t>window.applyProBump — invoked by the feedback modal's Claim CTA.</w:t>
      </w:r>
    </w:p>
    <w:p>
      <w:pPr>
        <w:pStyle w:val="ListBullet"/>
      </w:pPr>
      <w:r>
        <w:t>window.renderGoldIndividual — invoked by renderCompareSummary when returning to the individual view.</w:t>
      </w:r>
    </w:p>
    <w:p>
      <w:r>
        <w:rPr>
          <w:b w:val="0"/>
          <w:i w:val="0"/>
        </w:rPr>
        <w:t>Key functions:</w:t>
      </w:r>
    </w:p>
    <w:p>
      <w:pPr>
        <w:pStyle w:val="ListBullet"/>
      </w:pPr>
      <w:r>
        <w:t>setTopView(target) — view orchestrator (see §5).</w:t>
      </w:r>
    </w:p>
    <w:p>
      <w:pPr>
        <w:pStyle w:val="ListBullet"/>
      </w:pPr>
      <w:r>
        <w:t>renderPro() / Gold's render(period) — per-card painters (price, hint, chip, credits).</w:t>
      </w:r>
    </w:p>
    <w:p>
      <w:pPr>
        <w:pStyle w:val="ListBullet"/>
      </w:pPr>
      <w:r>
        <w:t>wireTeamCard(planKey) — binds chip clicks + custom-stepper input for one team card; pushes its render into teamRenders[].</w:t>
      </w:r>
    </w:p>
    <w:p>
      <w:pPr>
        <w:pStyle w:val="ListBullet"/>
      </w:pPr>
      <w:r>
        <w:t>renderAllTeams() — fires every team card render + renderCompareSummary().</w:t>
      </w:r>
    </w:p>
    <w:p>
      <w:pPr>
        <w:pStyle w:val="ListBullet"/>
      </w:pPr>
      <w:r>
        <w:t>renderCompareSummary() — the sticky summary + feature-table reactive layer (see §6.5).</w:t>
      </w:r>
    </w:p>
    <w:p>
      <w:pPr>
        <w:pStyle w:val="ListBullet"/>
      </w:pPr>
      <w:r>
        <w:t>Bump utilities: bumpRemaining(), formatTimer(), startBumpCountdown().</w:t>
      </w:r>
    </w:p>
    <w:p>
      <w:pPr>
        <w:pStyle w:val="Heading1"/>
      </w:pPr>
      <w:r>
        <w:t>12. Assets</w:t>
      </w:r>
    </w:p>
    <w:p>
      <w:r>
        <w:rPr>
          <w:b w:val="0"/>
          <w:i w:val="0"/>
        </w:rPr>
        <w:t>All product art is base64-embedded for the small individual-view illustrations (.illus-basic, .illus-pro, .illus-gold, .illus-enterprise) so they render with no extra requests. Larger or more elaborate art is on disk:</w:t>
      </w:r>
    </w:p>
    <w:p>
      <w:pPr>
        <w:pStyle w:val="ListBullet"/>
      </w:pPr>
      <w:r>
        <w:t>assets/api/{starter,growth,scale}.png — individual-API tier card illustrations.</w:t>
      </w:r>
    </w:p>
    <w:p>
      <w:pPr>
        <w:pStyle w:val="ListBullet"/>
      </w:pPr>
      <w:r>
        <w:t>assets/api/ep-{topic,file,singleslide}.png — endpoint card preview tiles.</w:t>
      </w:r>
    </w:p>
    <w:p>
      <w:pPr>
        <w:pStyle w:val="ListBullet"/>
      </w:pPr>
      <w:r>
        <w:t>assets/export/single-export.png — Microsoft PowerPoint icon for the Single Export card.</w:t>
      </w:r>
    </w:p>
    <w:p>
      <w:pPr>
        <w:pStyle w:val="ListBullet"/>
      </w:pPr>
      <w:r>
        <w:t>assets/testimonials/team-{marcus,desmond,elena}.png — hand-drawn portraits for the Team-tab testimonials.</w:t>
      </w:r>
    </w:p>
    <w:p>
      <w:pPr>
        <w:pStyle w:val="ListBullet"/>
      </w:pPr>
      <w:r>
        <w:t>assets/trust/soc2.svg, gdpr.svg — production AICPA SOC 2 + GDPR badges (60×60).</w:t>
      </w:r>
    </w:p>
    <w:p>
      <w:r>
        <w:rPr>
          <w:b w:val="0"/>
          <w:i w:val="0"/>
        </w:rPr>
        <w:t>Logo marquee images in the footer come from Figma's MCP asset URLs and should be replaced with permanent CDN URLs (or self-hosted) before shipping — the Figma asset URLs expire after 7 days.</w:t>
      </w:r>
    </w:p>
    <w:p>
      <w:pPr>
        <w:pStyle w:val="Heading1"/>
      </w:pPr>
      <w:r>
        <w:t>13. Local Development &amp; Deploy</w:t>
      </w:r>
    </w:p>
    <w:p>
      <w:pPr>
        <w:pStyle w:val="Heading2"/>
      </w:pPr>
      <w:r>
        <w:t>13.1 Local</w:t>
      </w:r>
    </w:p>
    <w:p>
      <w:pPr>
        <w:spacing w:before="80" w:after="80"/>
        <w:ind w:left="360"/>
      </w:pPr>
      <w:r>
        <w:rPr>
          <w:rFonts w:ascii="Consolas" w:hAnsi="Consolas"/>
          <w:color w:val="333333"/>
          <w:sz w:val="19"/>
        </w:rPr>
        <w:t>python3 -m http.server 8912 --directory /path/to/belo-horizonte</w:t>
        <w:br/>
        <w:t># then open http://localhost:8912/index.html or /export-pricing.html</w:t>
      </w:r>
    </w:p>
    <w:p>
      <w:r>
        <w:rPr>
          <w:b w:val="0"/>
          <w:i w:val="0"/>
        </w:rPr>
        <w:t>No build step. Edits to .html / .css are picked up on refresh.</w:t>
      </w:r>
    </w:p>
    <w:p>
      <w:pPr>
        <w:pStyle w:val="Heading2"/>
      </w:pPr>
      <w:r>
        <w:t>13.2 Public preview (GitHub Pages)</w:t>
      </w:r>
    </w:p>
    <w:p>
      <w:r>
        <w:rPr>
          <w:b w:val="0"/>
          <w:i w:val="0"/>
        </w:rPr>
        <w:t>The fork at github.com/manivasakan-arch/pricing-20-4-2026 has Pages enabled on the manivasakan-arch/dev-api-changes branch at /. Pushing to that branch rebuilds in ~30s.</w:t>
      </w:r>
    </w:p>
    <w:p>
      <w:pPr>
        <w:spacing w:before="80" w:after="80"/>
        <w:ind w:left="360"/>
      </w:pPr>
      <w:r>
        <w:rPr>
          <w:rFonts w:ascii="Consolas" w:hAnsi="Consolas"/>
          <w:color w:val="333333"/>
          <w:sz w:val="19"/>
        </w:rPr>
        <w:t>git push fork manivasakan-arch/dev-api-changes</w:t>
      </w:r>
    </w:p>
    <w:p>
      <w:r>
        <w:rPr>
          <w:b w:val="0"/>
          <w:i w:val="0"/>
        </w:rPr>
        <w:t>Live URLs:</w:t>
      </w:r>
    </w:p>
    <w:p>
      <w:pPr>
        <w:pStyle w:val="ListBullet"/>
      </w:pPr>
      <w:r>
        <w:t>https://manivasakan-arch.github.io/pricing-20-4-2026/  (index.html)</w:t>
      </w:r>
    </w:p>
    <w:p>
      <w:pPr>
        <w:pStyle w:val="ListBullet"/>
      </w:pPr>
      <w:r>
        <w:t>https://manivasakan-arch.github.io/pricing-20-4-2026/export-pricing.html</w:t>
      </w:r>
    </w:p>
    <w:p>
      <w:pPr>
        <w:pStyle w:val="Heading1"/>
      </w:pPr>
      <w:r>
        <w:t>14. Known Gaps &amp; Pre-Ship Checklist</w:t>
      </w:r>
    </w:p>
    <w:p>
      <w:pPr>
        <w:pStyle w:val="ListBullet"/>
      </w:pPr>
      <w:r>
        <w:t>Set DEV_RESET_ON_LOAD = false so the bump persists across refreshes within its 60-minute window.</w:t>
      </w:r>
    </w:p>
    <w:p>
      <w:pPr>
        <w:pStyle w:val="ListBullet"/>
      </w:pPr>
      <w:r>
        <w:t>Replace the Figma-hosted footer logo URLs (they 404 after 7 days).</w:t>
      </w:r>
    </w:p>
    <w:p>
      <w:pPr>
        <w:pStyle w:val="ListBullet"/>
      </w:pPr>
      <w:r>
        <w:t>Decide the real Pro-monthly credit number — currently a literal X,XXX placeholder.</w:t>
      </w:r>
    </w:p>
    <w:p>
      <w:pPr>
        <w:pStyle w:val="ListBullet"/>
      </w:pPr>
      <w:r>
        <w:t>Remove the Agentation block + esm.sh imports for the production build.</w:t>
      </w:r>
    </w:p>
    <w:p>
      <w:pPr>
        <w:pStyle w:val="ListBullet"/>
      </w:pPr>
      <w:r>
        <w:t>Pricing/labels are hard-coded inline — extract to a config map if a CMS or A/B framework will drive them.</w:t>
      </w:r>
    </w:p>
    <w:p>
      <w:pPr>
        <w:pStyle w:val="ListBullet"/>
      </w:pPr>
      <w:r>
        <w:t>Tablet viewports (769–1279px) on index.html still rely on browser auto-scale; only export-pricing.html ships an explicit transform-scale fallback.</w:t>
      </w:r>
    </w:p>
    <w:p>
      <w:pPr>
        <w:pStyle w:val="ListBullet"/>
      </w:pPr>
      <w:r>
        <w:t>"AI Credits (annual)" label in the comparison table stays "annual" even when a user has switched a card to monthly. By design we deliberately don't refactor the table on period switch — confirm this is the intended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