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1016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389"/>
        <w:gridCol w:w="3389"/>
        <w:gridCol w:w="3388"/>
      </w:tblGrid>
      <w:tr>
        <w:trPr>
          <w:cantSplit w:val="true"/>
          <w:tblHeader w:val="true"/>
        </w:trPr>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38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38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38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38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037" w:bottom="792" w:left="1037"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756"/>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756"/>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756"/>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756"/>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756"/>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756"/>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0"/>
        </w:rPr>
        <w:fldChar w:fldCharType="begin" w:dirty="true"/>
        <w:instrText xml:space="preserve"> TOC \o "1-3" \h \z \u </w:instrText>
        <w:fldChar w:fldCharType="separate"/>
      </w:r>
      <w:r>
        <w:rPr>
          <w:rFonts w:ascii="Arial" w:hAnsi="Arial" w:eastAsia="Arial" w:cs="Arial"/>
          <w:b/>
          <w:color w:val="2F5651"/>
          <w:sz w:val="20"/>
        </w:rPr>
        <w:t>Participant Details</w:t>
      </w:r>
      <w:r>
        <w:rPr>
          <w:rFonts w:ascii="Arial" w:hAnsi="Arial" w:eastAsia="Arial" w:cs="Arial"/>
          <w:color w:val="2F5651"/>
          <w:sz w:val="20"/>
        </w:rPr>
        <w:tab/>
      </w:r>
      <w:r>
        <w:rPr>
          <w:rFonts w:ascii="Arial" w:hAnsi="Arial" w:eastAsia="Arial" w:cs="Arial"/>
          <w:b/>
          <w:color w:val="2F5651"/>
          <w:sz w:val="20"/>
        </w:rPr>
        <w:t>1</w:t>
      </w:r>
    </w:p>
    <w:p>
      <w:pPr>
        <w:pStyle w:val="TOC1"/>
        <w:tabs>
          <w:tab w:pos="9432" w:val="right" w:leader="dot"/>
        </w:tabs>
      </w:pPr>
      <w:r>
        <w:rPr>
          <w:rFonts w:ascii="Arial" w:hAnsi="Arial" w:eastAsia="Arial" w:cs="Arial"/>
          <w:b/>
          <w:color w:val="2F5651"/>
          <w:sz w:val="20"/>
        </w:rPr>
        <w:t>Referral Information</w:t>
      </w:r>
      <w:r>
        <w:rPr>
          <w:rFonts w:ascii="Arial" w:hAnsi="Arial" w:eastAsia="Arial" w:cs="Arial"/>
          <w:color w:val="2F5651"/>
          <w:sz w:val="20"/>
        </w:rPr>
        <w:tab/>
      </w:r>
      <w:r>
        <w:rPr>
          <w:rFonts w:ascii="Arial" w:hAnsi="Arial" w:eastAsia="Arial" w:cs="Arial"/>
          <w:b/>
          <w:color w:val="2F5651"/>
          <w:sz w:val="20"/>
        </w:rPr>
        <w:t>2</w:t>
      </w:r>
    </w:p>
    <w:p>
      <w:pPr>
        <w:pStyle w:val="TOC1"/>
        <w:tabs>
          <w:tab w:pos="9432" w:val="right" w:leader="dot"/>
        </w:tabs>
      </w:pPr>
      <w:r>
        <w:rPr>
          <w:rFonts w:ascii="Arial" w:hAnsi="Arial" w:eastAsia="Arial" w:cs="Arial"/>
          <w:b/>
          <w:color w:val="2F5651"/>
          <w:sz w:val="20"/>
        </w:rPr>
        <w:t>Participant Information</w:t>
      </w:r>
      <w:r>
        <w:rPr>
          <w:rFonts w:ascii="Arial" w:hAnsi="Arial" w:eastAsia="Arial" w:cs="Arial"/>
          <w:color w:val="2F5651"/>
          <w:sz w:val="20"/>
        </w:rPr>
        <w:tab/>
      </w:r>
      <w:r>
        <w:rPr>
          <w:rFonts w:ascii="Arial" w:hAnsi="Arial" w:eastAsia="Arial" w:cs="Arial"/>
          <w:b/>
          <w:color w:val="2F5651"/>
          <w:sz w:val="20"/>
        </w:rPr>
        <w:t>3</w:t>
      </w:r>
    </w:p>
    <w:p>
      <w:pPr>
        <w:pStyle w:val="TOC1"/>
        <w:tabs>
          <w:tab w:pos="9432" w:val="right" w:leader="dot"/>
        </w:tabs>
      </w:pPr>
      <w:r>
        <w:rPr>
          <w:rFonts w:ascii="Arial" w:hAnsi="Arial" w:eastAsia="Arial" w:cs="Arial"/>
          <w:b/>
          <w:color w:val="2F5651"/>
          <w:sz w:val="20"/>
        </w:rPr>
        <w:t>Assessment Method</w:t>
      </w:r>
      <w:r>
        <w:rPr>
          <w:rFonts w:ascii="Arial" w:hAnsi="Arial" w:eastAsia="Arial" w:cs="Arial"/>
          <w:color w:val="2F5651"/>
          <w:sz w:val="20"/>
        </w:rPr>
        <w:tab/>
      </w:r>
      <w:r>
        <w:rPr>
          <w:rFonts w:ascii="Arial" w:hAnsi="Arial" w:eastAsia="Arial" w:cs="Arial"/>
          <w:b/>
          <w:color w:val="2F5651"/>
          <w:sz w:val="20"/>
        </w:rPr>
        <w:t>4</w:t>
      </w:r>
    </w:p>
    <w:p>
      <w:pPr>
        <w:pStyle w:val="TOC2"/>
        <w:tabs>
          <w:tab w:pos="9432" w:val="right" w:leader="dot"/>
        </w:tabs>
      </w:pPr>
      <w:r>
        <w:rPr>
          <w:rFonts w:ascii="Arial" w:hAnsi="Arial" w:eastAsia="Arial" w:cs="Arial"/>
          <w:b w:val="0"/>
          <w:color w:val="263633"/>
          <w:sz w:val="19"/>
        </w:rPr>
        <w:t>Assessment synthesis</w:t>
      </w:r>
      <w:r>
        <w:rPr>
          <w:rFonts w:ascii="Arial" w:hAnsi="Arial" w:eastAsia="Arial" w:cs="Arial"/>
          <w:color w:val="263633"/>
          <w:sz w:val="19"/>
        </w:rPr>
        <w:tab/>
      </w:r>
      <w:r>
        <w:rPr>
          <w:rFonts w:ascii="Arial" w:hAnsi="Arial" w:eastAsia="Arial" w:cs="Arial"/>
          <w:b w:val="0"/>
          <w:color w:val="263633"/>
          <w:sz w:val="19"/>
        </w:rPr>
        <w:t>6</w:t>
      </w:r>
    </w:p>
    <w:p>
      <w:pPr>
        <w:pStyle w:val="TOC1"/>
        <w:tabs>
          <w:tab w:pos="9432" w:val="right" w:leader="dot"/>
        </w:tabs>
      </w:pPr>
      <w:r>
        <w:rPr>
          <w:rFonts w:ascii="Arial" w:hAnsi="Arial" w:eastAsia="Arial" w:cs="Arial"/>
          <w:b/>
          <w:color w:val="2F5651"/>
          <w:sz w:val="20"/>
        </w:rPr>
        <w:t>Assessment results for Functional Capacity</w:t>
      </w:r>
      <w:r>
        <w:rPr>
          <w:rFonts w:ascii="Arial" w:hAnsi="Arial" w:eastAsia="Arial" w:cs="Arial"/>
          <w:color w:val="2F5651"/>
          <w:sz w:val="20"/>
        </w:rPr>
        <w:tab/>
      </w:r>
      <w:r>
        <w:rPr>
          <w:rFonts w:ascii="Arial" w:hAnsi="Arial" w:eastAsia="Arial" w:cs="Arial"/>
          <w:b/>
          <w:color w:val="2F5651"/>
          <w:sz w:val="20"/>
        </w:rPr>
        <w:t>7</w:t>
      </w:r>
    </w:p>
    <w:p>
      <w:pPr>
        <w:pStyle w:val="TOC2"/>
        <w:tabs>
          <w:tab w:pos="9432" w:val="right" w:leader="dot"/>
        </w:tabs>
      </w:pPr>
      <w:r>
        <w:rPr>
          <w:rFonts w:ascii="Arial" w:hAnsi="Arial" w:eastAsia="Arial" w:cs="Arial"/>
          <w:b w:val="0"/>
          <w:color w:val="263633"/>
          <w:sz w:val="19"/>
        </w:rPr>
        <w:t>Mobility</w:t>
      </w:r>
      <w:r>
        <w:rPr>
          <w:rFonts w:ascii="Arial" w:hAnsi="Arial" w:eastAsia="Arial" w:cs="Arial"/>
          <w:color w:val="263633"/>
          <w:sz w:val="19"/>
        </w:rPr>
        <w:tab/>
      </w:r>
      <w:r>
        <w:rPr>
          <w:rFonts w:ascii="Arial" w:hAnsi="Arial" w:eastAsia="Arial" w:cs="Arial"/>
          <w:b w:val="0"/>
          <w:color w:val="263633"/>
          <w:sz w:val="19"/>
        </w:rPr>
        <w:t>8</w:t>
      </w:r>
    </w:p>
    <w:p>
      <w:pPr>
        <w:pStyle w:val="TOC2"/>
        <w:tabs>
          <w:tab w:pos="9432" w:val="right" w:leader="dot"/>
        </w:tabs>
      </w:pPr>
      <w:r>
        <w:rPr>
          <w:rFonts w:ascii="Arial" w:hAnsi="Arial" w:eastAsia="Arial" w:cs="Arial"/>
          <w:b w:val="0"/>
          <w:color w:val="263633"/>
          <w:sz w:val="19"/>
        </w:rPr>
        <w:t>Cognition</w:t>
      </w:r>
      <w:r>
        <w:rPr>
          <w:rFonts w:ascii="Arial" w:hAnsi="Arial" w:eastAsia="Arial" w:cs="Arial"/>
          <w:color w:val="263633"/>
          <w:sz w:val="19"/>
        </w:rPr>
        <w:tab/>
      </w:r>
      <w:r>
        <w:rPr>
          <w:rFonts w:ascii="Arial" w:hAnsi="Arial" w:eastAsia="Arial" w:cs="Arial"/>
          <w:b w:val="0"/>
          <w:color w:val="263633"/>
          <w:sz w:val="19"/>
        </w:rPr>
        <w:t>9</w:t>
      </w:r>
    </w:p>
    <w:p>
      <w:pPr>
        <w:pStyle w:val="TOC2"/>
        <w:tabs>
          <w:tab w:pos="9432" w:val="right" w:leader="dot"/>
        </w:tabs>
      </w:pPr>
      <w:r>
        <w:rPr>
          <w:rFonts w:ascii="Arial" w:hAnsi="Arial" w:eastAsia="Arial" w:cs="Arial"/>
          <w:b w:val="0"/>
          <w:color w:val="263633"/>
          <w:sz w:val="19"/>
        </w:rPr>
        <w:t>Communication</w:t>
      </w:r>
      <w:r>
        <w:rPr>
          <w:rFonts w:ascii="Arial" w:hAnsi="Arial" w:eastAsia="Arial" w:cs="Arial"/>
          <w:color w:val="263633"/>
          <w:sz w:val="19"/>
        </w:rPr>
        <w:tab/>
      </w:r>
      <w:r>
        <w:rPr>
          <w:rFonts w:ascii="Arial" w:hAnsi="Arial" w:eastAsia="Arial" w:cs="Arial"/>
          <w:b w:val="0"/>
          <w:color w:val="263633"/>
          <w:sz w:val="19"/>
        </w:rPr>
        <w:t>10</w:t>
      </w:r>
    </w:p>
    <w:p>
      <w:pPr>
        <w:pStyle w:val="TOC2"/>
        <w:tabs>
          <w:tab w:pos="9432" w:val="right" w:leader="dot"/>
        </w:tabs>
      </w:pPr>
      <w:r>
        <w:rPr>
          <w:rFonts w:ascii="Arial" w:hAnsi="Arial" w:eastAsia="Arial" w:cs="Arial"/>
          <w:b w:val="0"/>
          <w:color w:val="263633"/>
          <w:sz w:val="19"/>
        </w:rPr>
        <w:t>Psychological/Emotional</w:t>
      </w:r>
      <w:r>
        <w:rPr>
          <w:rFonts w:ascii="Arial" w:hAnsi="Arial" w:eastAsia="Arial" w:cs="Arial"/>
          <w:color w:val="263633"/>
          <w:sz w:val="19"/>
        </w:rPr>
        <w:tab/>
      </w:r>
      <w:r>
        <w:rPr>
          <w:rFonts w:ascii="Arial" w:hAnsi="Arial" w:eastAsia="Arial" w:cs="Arial"/>
          <w:b w:val="0"/>
          <w:color w:val="263633"/>
          <w:sz w:val="19"/>
        </w:rPr>
        <w:t>11</w:t>
      </w:r>
    </w:p>
    <w:p>
      <w:pPr>
        <w:pStyle w:val="TOC2"/>
        <w:tabs>
          <w:tab w:pos="9432" w:val="right" w:leader="dot"/>
        </w:tabs>
      </w:pPr>
      <w:r>
        <w:rPr>
          <w:rFonts w:ascii="Arial" w:hAnsi="Arial" w:eastAsia="Arial" w:cs="Arial"/>
          <w:b w:val="0"/>
          <w:color w:val="263633"/>
          <w:sz w:val="19"/>
        </w:rPr>
        <w:t>Self-Care ADLs</w:t>
      </w:r>
      <w:r>
        <w:rPr>
          <w:rFonts w:ascii="Arial" w:hAnsi="Arial" w:eastAsia="Arial" w:cs="Arial"/>
          <w:color w:val="263633"/>
          <w:sz w:val="19"/>
        </w:rPr>
        <w:tab/>
      </w:r>
      <w:r>
        <w:rPr>
          <w:rFonts w:ascii="Arial" w:hAnsi="Arial" w:eastAsia="Arial" w:cs="Arial"/>
          <w:b w:val="0"/>
          <w:color w:val="263633"/>
          <w:sz w:val="19"/>
        </w:rPr>
        <w:t>12</w:t>
      </w:r>
    </w:p>
    <w:p>
      <w:pPr>
        <w:pStyle w:val="TOC2"/>
        <w:tabs>
          <w:tab w:pos="9432" w:val="right" w:leader="dot"/>
        </w:tabs>
      </w:pPr>
      <w:r>
        <w:rPr>
          <w:rFonts w:ascii="Arial" w:hAnsi="Arial" w:eastAsia="Arial" w:cs="Arial"/>
          <w:b w:val="0"/>
          <w:color w:val="263633"/>
          <w:sz w:val="19"/>
        </w:rPr>
        <w:t>Domestic ADLs</w:t>
      </w:r>
      <w:r>
        <w:rPr>
          <w:rFonts w:ascii="Arial" w:hAnsi="Arial" w:eastAsia="Arial" w:cs="Arial"/>
          <w:color w:val="263633"/>
          <w:sz w:val="19"/>
        </w:rPr>
        <w:tab/>
      </w:r>
      <w:r>
        <w:rPr>
          <w:rFonts w:ascii="Arial" w:hAnsi="Arial" w:eastAsia="Arial" w:cs="Arial"/>
          <w:b w:val="0"/>
          <w:color w:val="263633"/>
          <w:sz w:val="19"/>
        </w:rPr>
        <w:t>13</w:t>
      </w:r>
    </w:p>
    <w:p>
      <w:pPr>
        <w:pStyle w:val="TOC2"/>
        <w:tabs>
          <w:tab w:pos="9432" w:val="right" w:leader="dot"/>
        </w:tabs>
      </w:pPr>
      <w:r>
        <w:rPr>
          <w:rFonts w:ascii="Arial" w:hAnsi="Arial" w:eastAsia="Arial" w:cs="Arial"/>
          <w:b w:val="0"/>
          <w:color w:val="263633"/>
          <w:sz w:val="19"/>
        </w:rPr>
        <w:t>Community Access</w:t>
      </w:r>
      <w:r>
        <w:rPr>
          <w:rFonts w:ascii="Arial" w:hAnsi="Arial" w:eastAsia="Arial" w:cs="Arial"/>
          <w:color w:val="263633"/>
          <w:sz w:val="19"/>
        </w:rPr>
        <w:tab/>
      </w:r>
      <w:r>
        <w:rPr>
          <w:rFonts w:ascii="Arial" w:hAnsi="Arial" w:eastAsia="Arial" w:cs="Arial"/>
          <w:b w:val="0"/>
          <w:color w:val="263633"/>
          <w:sz w:val="19"/>
        </w:rPr>
        <w:t>14</w:t>
      </w:r>
    </w:p>
    <w:p>
      <w:pPr>
        <w:pStyle w:val="TOC2"/>
        <w:tabs>
          <w:tab w:pos="9432" w:val="right" w:leader="dot"/>
        </w:tabs>
      </w:pPr>
      <w:r>
        <w:rPr>
          <w:rFonts w:ascii="Arial" w:hAnsi="Arial" w:eastAsia="Arial" w:cs="Arial"/>
          <w:b w:val="0"/>
          <w:color w:val="263633"/>
          <w:sz w:val="19"/>
        </w:rPr>
        <w:t>Behaviours of Concern</w:t>
      </w:r>
      <w:r>
        <w:rPr>
          <w:rFonts w:ascii="Arial" w:hAnsi="Arial" w:eastAsia="Arial" w:cs="Arial"/>
          <w:color w:val="263633"/>
          <w:sz w:val="19"/>
        </w:rPr>
        <w:tab/>
      </w:r>
      <w:r>
        <w:rPr>
          <w:rFonts w:ascii="Arial" w:hAnsi="Arial" w:eastAsia="Arial" w:cs="Arial"/>
          <w:b w:val="0"/>
          <w:color w:val="263633"/>
          <w:sz w:val="19"/>
        </w:rPr>
        <w:t>15</w:t>
      </w:r>
    </w:p>
    <w:p>
      <w:pPr>
        <w:pStyle w:val="TOC2"/>
        <w:tabs>
          <w:tab w:pos="9432" w:val="right" w:leader="dot"/>
        </w:tabs>
      </w:pPr>
      <w:r>
        <w:rPr>
          <w:rFonts w:ascii="Arial" w:hAnsi="Arial" w:eastAsia="Arial" w:cs="Arial"/>
          <w:b w:val="0"/>
          <w:color w:val="263633"/>
          <w:sz w:val="19"/>
        </w:rPr>
        <w:t>Home Modifications and Assistive Technology</w:t>
      </w:r>
      <w:r>
        <w:rPr>
          <w:rFonts w:ascii="Arial" w:hAnsi="Arial" w:eastAsia="Arial" w:cs="Arial"/>
          <w:color w:val="263633"/>
          <w:sz w:val="19"/>
        </w:rPr>
        <w:tab/>
      </w:r>
      <w:r>
        <w:rPr>
          <w:rFonts w:ascii="Arial" w:hAnsi="Arial" w:eastAsia="Arial" w:cs="Arial"/>
          <w:b w:val="0"/>
          <w:color w:val="263633"/>
          <w:sz w:val="19"/>
        </w:rPr>
        <w:t>16</w:t>
      </w:r>
    </w:p>
    <w:p>
      <w:pPr>
        <w:pStyle w:val="TOC1"/>
        <w:tabs>
          <w:tab w:pos="9432" w:val="right" w:leader="dot"/>
        </w:tabs>
      </w:pPr>
      <w:r>
        <w:rPr>
          <w:rFonts w:ascii="Arial" w:hAnsi="Arial" w:eastAsia="Arial" w:cs="Arial"/>
          <w:b/>
          <w:color w:val="2F5651"/>
          <w:sz w:val="20"/>
        </w:rPr>
        <w:t>Summary and Recommendations</w:t>
      </w:r>
      <w:r>
        <w:rPr>
          <w:rFonts w:ascii="Arial" w:hAnsi="Arial" w:eastAsia="Arial" w:cs="Arial"/>
          <w:color w:val="2F5651"/>
          <w:sz w:val="20"/>
        </w:rPr>
        <w:tab/>
      </w:r>
      <w:r>
        <w:rPr>
          <w:rFonts w:ascii="Arial" w:hAnsi="Arial" w:eastAsia="Arial" w:cs="Arial"/>
          <w:b/>
          <w:color w:val="2F5651"/>
          <w:sz w:val="20"/>
        </w:rPr>
        <w:t>17</w:t>
      </w:r>
    </w:p>
    <w:p>
      <w:pPr>
        <w:pStyle w:val="TOC2"/>
        <w:tabs>
          <w:tab w:pos="9432" w:val="right" w:leader="dot"/>
        </w:tabs>
      </w:pPr>
      <w:r>
        <w:rPr>
          <w:rFonts w:ascii="Arial" w:hAnsi="Arial" w:eastAsia="Arial" w:cs="Arial"/>
          <w:b w:val="0"/>
          <w:color w:val="263633"/>
          <w:sz w:val="19"/>
        </w:rPr>
        <w:t>Core Supports</w:t>
      </w:r>
      <w:r>
        <w:rPr>
          <w:rFonts w:ascii="Arial" w:hAnsi="Arial" w:eastAsia="Arial" w:cs="Arial"/>
          <w:color w:val="263633"/>
          <w:sz w:val="19"/>
        </w:rPr>
        <w:tab/>
      </w:r>
      <w:r>
        <w:rPr>
          <w:rFonts w:ascii="Arial" w:hAnsi="Arial" w:eastAsia="Arial" w:cs="Arial"/>
          <w:b w:val="0"/>
          <w:color w:val="263633"/>
          <w:sz w:val="19"/>
        </w:rPr>
        <w:t>18</w:t>
      </w:r>
    </w:p>
    <w:p>
      <w:pPr>
        <w:pStyle w:val="TOC2"/>
        <w:tabs>
          <w:tab w:pos="9432" w:val="right" w:leader="dot"/>
        </w:tabs>
      </w:pPr>
      <w:r>
        <w:rPr>
          <w:rFonts w:ascii="Arial" w:hAnsi="Arial" w:eastAsia="Arial" w:cs="Arial"/>
          <w:b w:val="0"/>
          <w:color w:val="263633"/>
          <w:sz w:val="19"/>
        </w:rPr>
        <w:t>Capacity Building</w:t>
      </w:r>
      <w:r>
        <w:rPr>
          <w:rFonts w:ascii="Arial" w:hAnsi="Arial" w:eastAsia="Arial" w:cs="Arial"/>
          <w:color w:val="263633"/>
          <w:sz w:val="19"/>
        </w:rPr>
        <w:tab/>
      </w:r>
      <w:r>
        <w:rPr>
          <w:rFonts w:ascii="Arial" w:hAnsi="Arial" w:eastAsia="Arial" w:cs="Arial"/>
          <w:b w:val="0"/>
          <w:color w:val="263633"/>
          <w:sz w:val="19"/>
        </w:rPr>
        <w:t>19</w:t>
      </w:r>
    </w:p>
    <w:p>
      <w:pPr>
        <w:pStyle w:val="TOC1"/>
        <w:tabs>
          <w:tab w:pos="9432" w:val="right" w:leader="dot"/>
        </w:tabs>
      </w:pPr>
      <w:r>
        <w:rPr>
          <w:rFonts w:ascii="Arial" w:hAnsi="Arial" w:eastAsia="Arial" w:cs="Arial"/>
          <w:b/>
          <w:color w:val="2F5651"/>
          <w:sz w:val="20"/>
        </w:rPr>
        <w:t>Professional Declaration</w:t>
      </w:r>
      <w:r>
        <w:rPr>
          <w:rFonts w:ascii="Arial" w:hAnsi="Arial" w:eastAsia="Arial" w:cs="Arial"/>
          <w:color w:val="2F5651"/>
          <w:sz w:val="20"/>
        </w:rPr>
        <w:tab/>
      </w:r>
      <w:r>
        <w:rPr>
          <w:rFonts w:ascii="Arial" w:hAnsi="Arial" w:eastAsia="Arial" w:cs="Arial"/>
          <w:b/>
          <w:color w:val="2F5651"/>
          <w:sz w:val="20"/>
        </w:rPr>
        <w:t>20</w:t>
      </w:r>
    </w:p>
    <w:p>
      <w:pPr>
        <w:pStyle w:val="TOC1"/>
        <w:tabs>
          <w:tab w:pos="9432" w:val="right" w:leader="dot"/>
        </w:tabs>
      </w:pPr>
      <w:r>
        <w:rPr>
          <w:rFonts w:ascii="Arial" w:hAnsi="Arial" w:eastAsia="Arial" w:cs="Arial"/>
          <w:b/>
          <w:color w:val="2F5651"/>
          <w:sz w:val="20"/>
        </w:rPr>
        <w:t>Appendices</w:t>
      </w:r>
      <w:r>
        <w:rPr>
          <w:rFonts w:ascii="Arial" w:hAnsi="Arial" w:eastAsia="Arial" w:cs="Arial"/>
          <w:color w:val="2F5651"/>
          <w:sz w:val="20"/>
        </w:rPr>
        <w:tab/>
      </w:r>
      <w:r>
        <w:rPr>
          <w:rFonts w:ascii="Arial" w:hAnsi="Arial" w:eastAsia="Arial" w:cs="Arial"/>
          <w:b/>
          <w:color w:val="2F5651"/>
          <w:sz w:val="20"/>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037" w:right="1152" w:bottom="979" w:left="1152" w:header="360" w:footer="36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Preferred Name</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EFERRED_NAME"/>
                    <w:alias w:val="PORTAL — PREFERRED NAME"/>
                    <w:text/>
                  </w:sdtPr>
                  <w:sdtContent>
                    <w:r>
                      <w:rPr>
                        <w:rFonts w:ascii="Arial" w:hAnsi="Arial" w:eastAsia="Arial" w:cs="Arial"/>
                      </w:rPr>
                      <w:t>[PORTAL — PREFERRED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Pronouns</w:t>
                </w:r>
              </w:p>
            </w:tc>
            <w:tc>
              <w:tcPr>
                <w:tcW w:type="dxa" w:w="6756"/>
                <w:vAlign w:val="center"/>
                <w:tcMar>
                  <w:top w:w="95" w:type="dxa"/>
                  <w:bottom w:w="95" w:type="dxa"/>
                  <w:start w:w="120" w:type="dxa"/>
                  <w:end w:w="120" w:type="dxa"/>
                </w:tcMar>
              </w:tcPr>
              <w:p>
                <w:pPr>
                  <w:pStyle w:val="OPAL–TableBody"/>
                  <w:jc w:val="left"/>
                </w:pPr>
                <w:sdt>
                  <w:sdtPr>
                    <w:tag w:val="OPAL_CLIENT_PRONOUNS"/>
                    <w:alias w:val="PORTAL — PRONOUNS"/>
                    <w:text/>
                  </w:sdtPr>
                  <w:sdtContent>
                    <w:r>
                      <w:rPr>
                        <w:rFonts w:ascii="Arial" w:hAnsi="Arial" w:eastAsia="Arial" w:cs="Arial"/>
                      </w:rPr>
                      <w:t>[PORTAL — PRONOUNS]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756"/>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756"/>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756"/>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756"/>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756"/>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Assessment purpose and scope</w:t>
          </w:r>
        </w:p>
        <w:p>
          <w:pPr>
            <w:pStyle w:val="OPAL–Placeholder"/>
          </w:pPr>
          <w:r>
            <w:t>[Define the participant’s disability-related functional questions, environments and activities assessed, the reporting period, and any matters outside the scope of this assessment.]</w:t>
          </w:r>
        </w:p>
        <w:p>
          <w:pPr>
            <w:pStyle w:val="OPAL–Heading2"/>
          </w:pPr>
          <w:r>
            <w:t>Consent and information sharing</w:t>
          </w:r>
        </w:p>
        <w:p>
          <w:pPr>
            <w:pStyle w:val="OPAL–Placeholder"/>
          </w:pPr>
          <w:r>
            <w:t>[Document consent for assessment, information collection and report distribution; identify the participant, nominee or guardian who provided consent and any communication or decision-making supports used.]</w:t>
          </w:r>
        </w:p>
        <w:p>
          <w:pPr>
            <w:pStyle w:val="OPAL–Heading2"/>
          </w:pPr>
          <w:r>
            <w:t>Referral and report recipients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756"/>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756"/>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756"/>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756"/>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Heading3"/>
          </w:pPr>
          <w:r>
            <w:t>NDIS Goals (as per NDIS plan)</w:t>
          </w:r>
        </w:p>
        <w:p>
          <w:pPr>
            <w:pStyle w:val="OPAL–Bullet"/>
          </w:pPr>
          <w:sdt>
            <w:sdtPr>
              <w:tag w:val="OPAL_CLIENT_NDIS_GOAL_1"/>
              <w:alias w:val="PORTAL — CURRENT NDIS GOAL 1"/>
              <w:text/>
            </w:sdtPr>
            <w:sdtContent>
              <w:r>
                <w:t>[PORTAL — CURRENT NDIS GOAL 1]</w:t>
              </w:r>
            </w:sdtContent>
          </w:sdt>
        </w:p>
        <w:p>
          <w:pPr>
            <w:pStyle w:val="OPAL–Bullet"/>
          </w:pPr>
          <w:sdt>
            <w:sdtPr>
              <w:tag w:val="OPAL_CLIENT_NDIS_GOAL_2"/>
              <w:alias w:val="PORTAL — CURRENT NDIS GOAL 2"/>
              <w:text/>
            </w:sdtPr>
            <w:sdtContent>
              <w:r>
                <w:t>[PORTAL — CURRENT NDIS GOAL 2]</w:t>
              </w:r>
            </w:sdtContent>
          </w:sdt>
        </w:p>
        <w:p>
          <w:pPr>
            <w:pStyle w:val="OPAL–Heading3"/>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484"/>
            <w:gridCol w:w="1788"/>
            <w:gridCol w:w="2186"/>
            <w:gridCol w:w="3478"/>
          </w:tblGrid>
          <w:tr>
            <w:trPr>
              <w:tblHeader w:val="true"/>
              <w:cantSplit w:val="true"/>
            </w:trPr>
            <w:tc>
              <w:tcPr>
                <w:tcW w:type="dxa" w:w="2484"/>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78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21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478"/>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48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7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683"/>
            <w:gridCol w:w="2385"/>
            <w:gridCol w:w="1292"/>
            <w:gridCol w:w="3576"/>
          </w:tblGrid>
          <w:tr>
            <w:trPr>
              <w:tblHeader w:val="true"/>
              <w:cantSplit w:val="true"/>
            </w:trPr>
            <w:tc>
              <w:tcPr>
                <w:tcW w:type="dxa" w:w="2683"/>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2385"/>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c>
              <w:tcPr>
                <w:tcW w:type="dxa" w:w="3576"/>
                <w:vAlign w:val="center"/>
                <w:shd w:val="clear" w:fill="2F5651"/>
                <w:tcMar>
                  <w:top w:w="90" w:type="dxa"/>
                  <w:bottom w:w="90" w:type="dxa"/>
                  <w:start w:w="120" w:type="dxa"/>
                  <w:end w:w="120" w:type="dxa"/>
                </w:tcMar>
              </w:tcPr>
              <w:p>
                <w:pPr>
                  <w:pStyle w:val="OPAL–TableHeader"/>
                  <w:jc w:val="left"/>
                </w:pPr>
                <w:r>
                  <w:rPr>
                    <w:rFonts w:ascii="Arial" w:hAnsi="Arial" w:eastAsia="Arial" w:cs="Arial"/>
                  </w:rPr>
                  <w:t>Relevant findings</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238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981"/>
                <w:gridCol w:w="1292"/>
                <w:gridCol w:w="1987"/>
                <w:gridCol w:w="3676"/>
              </w:tblGrid>
              <w:tr>
                <w:trPr>
                  <w:tblHeader w:val="true"/>
                  <w:cantSplit w:val="true"/>
                </w:trPr>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987"/>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676"/>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/20 OR N/A]</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/40]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378"/>
                <w:gridCol w:w="1590"/>
                <w:gridCol w:w="4968"/>
              </w:tblGrid>
              <w:tr>
                <w:trPr>
                  <w:tblHeader w:val="true"/>
                  <w:cantSplit w:val="true"/>
                </w:trPr>
                <w:tc>
                  <w:tcPr>
                    <w:tcW w:type="dxa" w:w="337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590"/>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968"/>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888"/>
            <w:gridCol w:w="1888"/>
            <w:gridCol w:w="4372"/>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888"/>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888"/>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43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987"/>
            <w:gridCol w:w="2981"/>
            <w:gridCol w:w="1987"/>
            <w:gridCol w:w="1193"/>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193"/>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756"/>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037" w:right="1152" w:bottom="979" w:left="1152" w:header="360" w:footer="36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 xml:space="preserve">Opal Therapy | Functional Assessment Report | Confidential | </w:t>
          </w:r>
          <w:sdt>
            <w:sdtPr>
              <w:tag w:val="OPAL_REPORT_DOCUMENT_ID"/>
              <w:alias w:val="PORTAL — REPORT ID"/>
              <w:text/>
            </w:sdtPr>
            <w:sdtContent>
              <w:r>
                <w:rPr>
                  <w:rFonts w:ascii="Arial" w:hAnsi="Arial" w:eastAsia="Arial" w:cs="Arial"/>
                  <w:color w:val="62716E"/>
                  <w:sz w:val="16"/>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sdt>
      <w:sdtPr>
        <w:tag w:val="OPAL_CLIENT_PREFERRED_NAME"/>
        <w:alias w:val="PORTAL — PREFERRED NAME"/>
        <w:text/>
      </w:sdtPr>
      <w:sdtContent>
        <w:r>
          <w:rPr>
            <w:rFonts w:ascii="Arial" w:hAnsi="Arial" w:eastAsia="Arial" w:cs="Arial"/>
            <w:b w:val="0"/>
            <w:color w:val="566E70"/>
            <w:sz w:val="14"/>
          </w:rPr>
          <w:t>[PORTAL — PREFERRED NAME]</w:t>
        </w:r>
      </w:sdtContent>
    </w:sdt>
    <w:r>
      <w:rPr>
        <w:rFonts w:ascii="Arial" w:hAnsi="Arial" w:eastAsia="Arial" w:cs="Arial"/>
        <w:b w:val="0"/>
        <w:color w:val="566E70"/>
        <w:sz w:val="14"/>
      </w:rPr>
      <w:t xml:space="preserve"> | NDIS </w:t>
    </w:r>
    <w:sdt>
      <w:sdtPr>
        <w:tag w:val="OPAL_CLIENT_NDIS_NUMBER"/>
        <w:alias w:val="PORTAL — NDIS NUMBER"/>
        <w:text/>
      </w:sdtPr>
      <w:sdtContent>
        <w:r>
          <w:rPr>
            <w:rFonts w:ascii="Arial" w:hAnsi="Arial" w:eastAsia="Arial" w:cs="Arial"/>
            <w:b w:val="0"/>
            <w:color w:val="566E70"/>
            <w:sz w:val="14"/>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2"/>
      </w:numPr>
    </w:pPr>
    <w:rPr>
      <w:rFonts w:ascii="Arial" w:hAnsi="Arial" w:eastAsia="Arial" w:cs="Arial"/>
      <w:b w:val="0"/>
      <w:i w:val="0"/>
      <w:color w:val="263633"/>
      <w:sz w:val="20"/>
    </w:rPr>
  </w:style>
  <w:style w:type="paragraph" w:customStyle="1" w:styleId="OPAL–NumberedList">
    <w:name w:val="OPAL – Numbered List"/>
    <w:basedOn w:val="OPAL–Body"/>
    <w:uiPriority w:val="12"/>
    <w:qFormat/>
    <w:pPr>
      <w:spacing w:after="60"/>
      <w:ind w:left="540" w:hanging="259"/>
      <w:numPr>
        <w:ilvl w:val="0"/>
        <w:numId w:val="83"/>
      </w:numPr>
    </w:pPr>
    <w:rPr>
      <w:rFonts w:ascii="Arial" w:hAnsi="Arial" w:eastAsia="Arial" w:cs="Arial"/>
      <w:b w:val="0"/>
      <w:i w:val="0"/>
      <w:color w:val="263633"/>
      <w:sz w:val="20"/>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