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137"/>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137"/>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137"/>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137"/>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2"/>
        </w:rPr>
        <w:fldChar w:fldCharType="begin" w:dirty="true"/>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432"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432"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432"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432" w:val="right" w:leader="dot"/>
        </w:tabs>
      </w:pPr>
      <w:r>
        <w:rPr>
          <w:rFonts w:ascii="Arial" w:hAnsi="Arial" w:eastAsia="Arial" w:cs="Arial"/>
          <w:b w:val="0"/>
          <w:color w:val="263633"/>
          <w:sz w:val="18"/>
        </w:rPr>
        <w:t>Assessment synthesis</w:t>
      </w:r>
      <w:r>
        <w:rPr>
          <w:rFonts w:ascii="Arial" w:hAnsi="Arial" w:eastAsia="Arial" w:cs="Arial"/>
          <w:color w:val="263633"/>
          <w:sz w:val="18"/>
        </w:rPr>
        <w:tab/>
      </w:r>
      <w:r>
        <w:rPr>
          <w:rFonts w:ascii="Arial" w:hAnsi="Arial" w:eastAsia="Arial" w:cs="Arial"/>
          <w:b w:val="0"/>
          <w:color w:val="263633"/>
          <w:sz w:val="18"/>
        </w:rPr>
        <w:t>6</w:t>
      </w:r>
    </w:p>
    <w:p>
      <w:pPr>
        <w:pStyle w:val="TOC1"/>
        <w:tabs>
          <w:tab w:pos="9432"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432" w:val="right" w:leader="dot"/>
        </w:tabs>
      </w:pPr>
      <w:r>
        <w:rPr>
          <w:rFonts w:ascii="Arial" w:hAnsi="Arial" w:eastAsia="Arial" w:cs="Arial"/>
          <w:b w:val="0"/>
          <w:color w:val="263633"/>
          <w:sz w:val="18"/>
        </w:rPr>
        <w:t>Mobility</w:t>
      </w:r>
      <w:r>
        <w:rPr>
          <w:rFonts w:ascii="Arial" w:hAnsi="Arial" w:eastAsia="Arial" w:cs="Arial"/>
          <w:color w:val="263633"/>
          <w:sz w:val="18"/>
        </w:rPr>
        <w:tab/>
      </w:r>
      <w:r>
        <w:rPr>
          <w:rFonts w:ascii="Arial" w:hAnsi="Arial" w:eastAsia="Arial" w:cs="Arial"/>
          <w:b w:val="0"/>
          <w:color w:val="263633"/>
          <w:sz w:val="18"/>
        </w:rPr>
        <w:t>8</w:t>
      </w:r>
    </w:p>
    <w:p>
      <w:pPr>
        <w:pStyle w:val="TOC2"/>
        <w:tabs>
          <w:tab w:pos="9432" w:val="right" w:leader="dot"/>
        </w:tabs>
      </w:pPr>
      <w:r>
        <w:rPr>
          <w:rFonts w:ascii="Arial" w:hAnsi="Arial" w:eastAsia="Arial" w:cs="Arial"/>
          <w:b w:val="0"/>
          <w:color w:val="263633"/>
          <w:sz w:val="18"/>
        </w:rPr>
        <w:t>Cognition</w:t>
      </w:r>
      <w:r>
        <w:rPr>
          <w:rFonts w:ascii="Arial" w:hAnsi="Arial" w:eastAsia="Arial" w:cs="Arial"/>
          <w:color w:val="263633"/>
          <w:sz w:val="18"/>
        </w:rPr>
        <w:tab/>
      </w:r>
      <w:r>
        <w:rPr>
          <w:rFonts w:ascii="Arial" w:hAnsi="Arial" w:eastAsia="Arial" w:cs="Arial"/>
          <w:b w:val="0"/>
          <w:color w:val="263633"/>
          <w:sz w:val="18"/>
        </w:rPr>
        <w:t>9</w:t>
      </w:r>
    </w:p>
    <w:p>
      <w:pPr>
        <w:pStyle w:val="TOC2"/>
        <w:tabs>
          <w:tab w:pos="9432" w:val="right" w:leader="dot"/>
        </w:tabs>
      </w:pPr>
      <w:r>
        <w:rPr>
          <w:rFonts w:ascii="Arial" w:hAnsi="Arial" w:eastAsia="Arial" w:cs="Arial"/>
          <w:b w:val="0"/>
          <w:color w:val="263633"/>
          <w:sz w:val="18"/>
        </w:rPr>
        <w:t>Communication</w:t>
      </w:r>
      <w:r>
        <w:rPr>
          <w:rFonts w:ascii="Arial" w:hAnsi="Arial" w:eastAsia="Arial" w:cs="Arial"/>
          <w:color w:val="263633"/>
          <w:sz w:val="18"/>
        </w:rPr>
        <w:tab/>
      </w:r>
      <w:r>
        <w:rPr>
          <w:rFonts w:ascii="Arial" w:hAnsi="Arial" w:eastAsia="Arial" w:cs="Arial"/>
          <w:b w:val="0"/>
          <w:color w:val="263633"/>
          <w:sz w:val="18"/>
        </w:rPr>
        <w:t>10</w:t>
      </w:r>
    </w:p>
    <w:p>
      <w:pPr>
        <w:pStyle w:val="TOC2"/>
        <w:tabs>
          <w:tab w:pos="9432" w:val="right" w:leader="dot"/>
        </w:tabs>
      </w:pPr>
      <w:r>
        <w:rPr>
          <w:rFonts w:ascii="Arial" w:hAnsi="Arial" w:eastAsia="Arial" w:cs="Arial"/>
          <w:b w:val="0"/>
          <w:color w:val="263633"/>
          <w:sz w:val="18"/>
        </w:rPr>
        <w:t>Psychological/Emotional</w:t>
      </w:r>
      <w:r>
        <w:rPr>
          <w:rFonts w:ascii="Arial" w:hAnsi="Arial" w:eastAsia="Arial" w:cs="Arial"/>
          <w:color w:val="263633"/>
          <w:sz w:val="18"/>
        </w:rPr>
        <w:tab/>
      </w:r>
      <w:r>
        <w:rPr>
          <w:rFonts w:ascii="Arial" w:hAnsi="Arial" w:eastAsia="Arial" w:cs="Arial"/>
          <w:b w:val="0"/>
          <w:color w:val="263633"/>
          <w:sz w:val="18"/>
        </w:rPr>
        <w:t>11</w:t>
      </w:r>
    </w:p>
    <w:p>
      <w:pPr>
        <w:pStyle w:val="TOC2"/>
        <w:tabs>
          <w:tab w:pos="9432" w:val="right" w:leader="dot"/>
        </w:tabs>
      </w:pPr>
      <w:r>
        <w:rPr>
          <w:rFonts w:ascii="Arial" w:hAnsi="Arial" w:eastAsia="Arial" w:cs="Arial"/>
          <w:b w:val="0"/>
          <w:color w:val="263633"/>
          <w:sz w:val="18"/>
        </w:rPr>
        <w:t>Self-Care ADLs</w:t>
      </w:r>
      <w:r>
        <w:rPr>
          <w:rFonts w:ascii="Arial" w:hAnsi="Arial" w:eastAsia="Arial" w:cs="Arial"/>
          <w:color w:val="263633"/>
          <w:sz w:val="18"/>
        </w:rPr>
        <w:tab/>
      </w:r>
      <w:r>
        <w:rPr>
          <w:rFonts w:ascii="Arial" w:hAnsi="Arial" w:eastAsia="Arial" w:cs="Arial"/>
          <w:b w:val="0"/>
          <w:color w:val="263633"/>
          <w:sz w:val="18"/>
        </w:rPr>
        <w:t>12</w:t>
      </w:r>
    </w:p>
    <w:p>
      <w:pPr>
        <w:pStyle w:val="TOC2"/>
        <w:tabs>
          <w:tab w:pos="9432" w:val="right" w:leader="dot"/>
        </w:tabs>
      </w:pPr>
      <w:r>
        <w:rPr>
          <w:rFonts w:ascii="Arial" w:hAnsi="Arial" w:eastAsia="Arial" w:cs="Arial"/>
          <w:b w:val="0"/>
          <w:color w:val="263633"/>
          <w:sz w:val="18"/>
        </w:rPr>
        <w:t>Domestic ADLs</w:t>
      </w:r>
      <w:r>
        <w:rPr>
          <w:rFonts w:ascii="Arial" w:hAnsi="Arial" w:eastAsia="Arial" w:cs="Arial"/>
          <w:color w:val="263633"/>
          <w:sz w:val="18"/>
        </w:rPr>
        <w:tab/>
      </w:r>
      <w:r>
        <w:rPr>
          <w:rFonts w:ascii="Arial" w:hAnsi="Arial" w:eastAsia="Arial" w:cs="Arial"/>
          <w:b w:val="0"/>
          <w:color w:val="263633"/>
          <w:sz w:val="18"/>
        </w:rPr>
        <w:t>13</w:t>
      </w:r>
    </w:p>
    <w:p>
      <w:pPr>
        <w:pStyle w:val="TOC2"/>
        <w:tabs>
          <w:tab w:pos="9432" w:val="right" w:leader="dot"/>
        </w:tabs>
      </w:pPr>
      <w:r>
        <w:rPr>
          <w:rFonts w:ascii="Arial" w:hAnsi="Arial" w:eastAsia="Arial" w:cs="Arial"/>
          <w:b w:val="0"/>
          <w:color w:val="263633"/>
          <w:sz w:val="18"/>
        </w:rPr>
        <w:t>Community Access</w:t>
      </w:r>
      <w:r>
        <w:rPr>
          <w:rFonts w:ascii="Arial" w:hAnsi="Arial" w:eastAsia="Arial" w:cs="Arial"/>
          <w:color w:val="263633"/>
          <w:sz w:val="18"/>
        </w:rPr>
        <w:tab/>
      </w:r>
      <w:r>
        <w:rPr>
          <w:rFonts w:ascii="Arial" w:hAnsi="Arial" w:eastAsia="Arial" w:cs="Arial"/>
          <w:b w:val="0"/>
          <w:color w:val="263633"/>
          <w:sz w:val="18"/>
        </w:rPr>
        <w:t>14</w:t>
      </w:r>
    </w:p>
    <w:p>
      <w:pPr>
        <w:pStyle w:val="TOC2"/>
        <w:tabs>
          <w:tab w:pos="9432" w:val="right" w:leader="dot"/>
        </w:tabs>
      </w:pPr>
      <w:r>
        <w:rPr>
          <w:rFonts w:ascii="Arial" w:hAnsi="Arial" w:eastAsia="Arial" w:cs="Arial"/>
          <w:b w:val="0"/>
          <w:color w:val="263633"/>
          <w:sz w:val="18"/>
        </w:rPr>
        <w:t>Behaviours of Concern</w:t>
      </w:r>
      <w:r>
        <w:rPr>
          <w:rFonts w:ascii="Arial" w:hAnsi="Arial" w:eastAsia="Arial" w:cs="Arial"/>
          <w:color w:val="263633"/>
          <w:sz w:val="18"/>
        </w:rPr>
        <w:tab/>
      </w:r>
      <w:r>
        <w:rPr>
          <w:rFonts w:ascii="Arial" w:hAnsi="Arial" w:eastAsia="Arial" w:cs="Arial"/>
          <w:b w:val="0"/>
          <w:color w:val="263633"/>
          <w:sz w:val="18"/>
        </w:rPr>
        <w:t>15</w:t>
      </w:r>
    </w:p>
    <w:p>
      <w:pPr>
        <w:pStyle w:val="TOC2"/>
        <w:tabs>
          <w:tab w:pos="9432" w:val="right" w:leader="dot"/>
        </w:tabs>
      </w:pPr>
      <w:r>
        <w:rPr>
          <w:rFonts w:ascii="Arial" w:hAnsi="Arial" w:eastAsia="Arial" w:cs="Arial"/>
          <w:b w:val="0"/>
          <w:color w:val="263633"/>
          <w:sz w:val="18"/>
        </w:rPr>
        <w:t>Home Modifications and Assistive Technology</w:t>
      </w:r>
      <w:r>
        <w:rPr>
          <w:rFonts w:ascii="Arial" w:hAnsi="Arial" w:eastAsia="Arial" w:cs="Arial"/>
          <w:color w:val="263633"/>
          <w:sz w:val="18"/>
        </w:rPr>
        <w:tab/>
      </w:r>
      <w:r>
        <w:rPr>
          <w:rFonts w:ascii="Arial" w:hAnsi="Arial" w:eastAsia="Arial" w:cs="Arial"/>
          <w:b w:val="0"/>
          <w:color w:val="263633"/>
          <w:sz w:val="18"/>
        </w:rPr>
        <w:t>16</w:t>
      </w:r>
    </w:p>
    <w:p>
      <w:pPr>
        <w:pStyle w:val="TOC1"/>
        <w:tabs>
          <w:tab w:pos="9432"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432" w:val="right" w:leader="dot"/>
        </w:tabs>
      </w:pPr>
      <w:r>
        <w:rPr>
          <w:rFonts w:ascii="Arial" w:hAnsi="Arial" w:eastAsia="Arial" w:cs="Arial"/>
          <w:b w:val="0"/>
          <w:color w:val="263633"/>
          <w:sz w:val="18"/>
        </w:rPr>
        <w:t>Core Supports</w:t>
      </w:r>
      <w:r>
        <w:rPr>
          <w:rFonts w:ascii="Arial" w:hAnsi="Arial" w:eastAsia="Arial" w:cs="Arial"/>
          <w:color w:val="263633"/>
          <w:sz w:val="18"/>
        </w:rPr>
        <w:tab/>
      </w:r>
      <w:r>
        <w:rPr>
          <w:rFonts w:ascii="Arial" w:hAnsi="Arial" w:eastAsia="Arial" w:cs="Arial"/>
          <w:b w:val="0"/>
          <w:color w:val="263633"/>
          <w:sz w:val="18"/>
        </w:rPr>
        <w:t>18</w:t>
      </w:r>
    </w:p>
    <w:p>
      <w:pPr>
        <w:pStyle w:val="TOC2"/>
        <w:tabs>
          <w:tab w:pos="9432" w:val="right" w:leader="dot"/>
        </w:tabs>
      </w:pPr>
      <w:r>
        <w:rPr>
          <w:rFonts w:ascii="Arial" w:hAnsi="Arial" w:eastAsia="Arial" w:cs="Arial"/>
          <w:b w:val="0"/>
          <w:color w:val="263633"/>
          <w:sz w:val="18"/>
        </w:rPr>
        <w:t>Capacity Building</w:t>
      </w:r>
      <w:r>
        <w:rPr>
          <w:rFonts w:ascii="Arial" w:hAnsi="Arial" w:eastAsia="Arial" w:cs="Arial"/>
          <w:color w:val="263633"/>
          <w:sz w:val="18"/>
        </w:rPr>
        <w:tab/>
      </w:r>
      <w:r>
        <w:rPr>
          <w:rFonts w:ascii="Arial" w:hAnsi="Arial" w:eastAsia="Arial" w:cs="Arial"/>
          <w:b w:val="0"/>
          <w:color w:val="263633"/>
          <w:sz w:val="18"/>
        </w:rPr>
        <w:t>19</w:t>
      </w:r>
    </w:p>
    <w:p>
      <w:pPr>
        <w:pStyle w:val="TOC1"/>
        <w:tabs>
          <w:tab w:pos="9432"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432"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900" w:right="1440" w:bottom="1180" w:left="1440" w:header="560" w:footer="72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900" w:right="1440" w:bottom="1180" w:left="1440" w:header="560" w:footer="72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8"/>
            </w:rPr>
            <w:t xml:space="preserve">Opal Therapy | Functional Assessment Report | Confidential | </w:t>
          </w:r>
          <w:sdt>
            <w:sdtPr>
              <w:tag w:val="OPAL_REPORT_DOCUMENT_ID"/>
              <w:alias w:val="PORTAL — REPORT ID"/>
              <w:text/>
            </w:sdtPr>
            <w:sdtContent>
              <w:r>
                <w:rPr>
                  <w:rFonts w:ascii="Arial" w:hAnsi="Arial" w:eastAsia="Arial" w:cs="Arial"/>
                  <w:color w:val="62716E"/>
                  <w:sz w:val="18"/>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8"/>
      </w:rPr>
      <w:t>FUNCTIONAL ASSESSMENT REPORT</w:t>
    </w:r>
  </w:p>
  <w:p>
    <w:pPr>
      <w:pStyle w:val="OPAL–Header"/>
      <w:spacing w:before="0" w:after="40"/>
      <w:jc w:val="right"/>
      <w:pBdr>
        <w:bottom w:val="single" w:sz="4" w:space="4" w:color="BFCDCE"/>
      </w:pBdr>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after="60"/>
      <w:ind w:left="0" w:firstLine="0"/>
    </w:pPr>
    <w:rPr>
      <w:rFonts w:ascii="Arial" w:hAnsi="Arial" w:eastAsia="Arial" w:cs="Arial"/>
      <w:b/>
      <w:i w:val="0"/>
      <w:color w:val="2F5651"/>
      <w:sz w:val="22"/>
    </w:rPr>
  </w:style>
  <w:style w:type="paragraph" w:customStyle="1" w:styleId="TOC2">
    <w:name w:val="TOC 2"/>
    <w:basedOn w:val="OPAL–Body"/>
    <w:semiHidden/>
    <w:pPr>
      <w:spacing w:after="60"/>
      <w:ind w:left="317" w:firstLine="0"/>
    </w:pPr>
    <w:rPr>
      <w:rFonts w:ascii="Arial" w:hAnsi="Arial" w:eastAsia="Arial" w:cs="Arial"/>
      <w:b w:val="0"/>
      <w:i w:val="0"/>
      <w:color w:val="263633"/>
      <w:sz w:val="18"/>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