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99"/>
          <w:sz w:val="20"/>
          <w:szCs w:val="20"/>
        </w:rPr>
        <w:t xml:space="preserve">RELIEFBRIDGE</w:t>
      </w:r>
    </w:p>
    <w:p>
      <w:pPr>
        <w:pStyle w:val="Title"/>
        <w:spacing w:after="80"/>
      </w:pPr>
      <w:r>
        <w:rPr>
          <w:b/>
          <w:bCs/>
          <w:color w:val="1A1A1A"/>
          <w:sz w:val="36"/>
          <w:szCs w:val="36"/>
        </w:rPr>
        <w:t xml:space="preserve">Week 1 — Evidence</w:t>
      </w:r>
    </w:p>
    <w:p>
      <w:pPr>
        <w:spacing w:after="300"/>
      </w:pPr>
      <w:r>
        <w:rPr>
          <w:color w:val="5A5A5A"/>
          <w:sz w:val="22"/>
          <w:szCs w:val="22"/>
        </w:rPr>
        <w:t xml:space="preserve">Lead Intake, Assignment Routing &amp; Duplicate Management — screenshot record of the working pipeline</w:t>
      </w:r>
    </w:p>
    <w:p>
      <w:pPr>
        <w:spacing w:after="60" w:before="300"/>
      </w:pPr>
      <w:r>
        <w:rPr>
          <w:b/>
          <w:bCs/>
          <w:color w:val="1F5C99"/>
          <w:sz w:val="24"/>
          <w:szCs w:val="24"/>
        </w:rPr>
        <w:t xml:space="preserve">1. </w:t>
      </w:r>
      <w:r>
        <w:rPr>
          <w:b/>
          <w:bCs/>
          <w:color w:val="1A1A1A"/>
          <w:sz w:val="24"/>
          <w:szCs w:val="24"/>
        </w:rPr>
        <w:t xml:space="preserve">Internal Assignment Notification</w:t>
      </w:r>
    </w:p>
    <w:p>
      <w:pPr>
        <w:spacing w:after="120" w:line="280"/>
      </w:pPr>
      <w:r>
        <w:rPr>
          <w:color w:val="1A1A1A"/>
          <w:sz w:val="21"/>
          <w:szCs w:val="21"/>
        </w:rPr>
        <w:t xml:space="preserve">A high-value Lead (Government/Nonprofit, $100K+ range) is submitted via the Web-to-Lead form. The Assignment Rule routes it to the Senior_Coordinators queue, which receives this branded notification with the key details needed to act.</w:t>
      </w:r>
    </w:p>
    <w:p>
      <w:pPr>
        <w:spacing w:after="20" w:before="100"/>
        <w:jc w:val="center"/>
      </w:pPr>
      <w:r>
        <w:drawing>
          <wp:inline distT="0" distB="0" distL="0" distR="0">
            <wp:extent cx="2476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8"/>
          <w:szCs w:val="18"/>
        </w:rPr>
        <w:t xml:space="preserve">Branded internal notification sent to the Senior_Coordinators queue</w:t>
      </w:r>
    </w:p>
    <w:p>
      <w:pPr>
        <w:spacing w:after="60" w:before="300"/>
      </w:pPr>
      <w:r>
        <w:rPr>
          <w:b/>
          <w:bCs/>
          <w:color w:val="1F5C99"/>
          <w:sz w:val="24"/>
          <w:szCs w:val="24"/>
        </w:rPr>
        <w:t xml:space="preserve">2. </w:t>
      </w:r>
      <w:r>
        <w:rPr>
          <w:b/>
          <w:bCs/>
          <w:color w:val="1A1A1A"/>
          <w:sz w:val="24"/>
          <w:szCs w:val="24"/>
        </w:rPr>
        <w:t xml:space="preserve">Lead Record — Correct Routing Confirmed</w:t>
      </w:r>
    </w:p>
    <w:p>
      <w:pPr>
        <w:spacing w:after="120" w:line="280"/>
      </w:pPr>
      <w:r>
        <w:rPr>
          <w:color w:val="1A1A1A"/>
          <w:sz w:val="21"/>
          <w:szCs w:val="21"/>
        </w:rPr>
        <w:t xml:space="preserve">Opening the Lead record confirms Owner = Senior_Coordinators, matching the assignment criteria.</w:t>
      </w:r>
    </w:p>
    <w:p>
      <w:pPr>
        <w:spacing w:after="20" w:before="10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8"/>
          <w:szCs w:val="18"/>
        </w:rPr>
        <w:t xml:space="preserve">Maria Chen's Lead record showing correct queue ownership</w:t>
      </w:r>
    </w:p>
    <w:p>
      <w:pPr>
        <w:spacing w:after="60" w:before="300"/>
      </w:pPr>
      <w:r>
        <w:rPr>
          <w:b/>
          <w:bCs/>
          <w:color w:val="1F5C99"/>
          <w:sz w:val="24"/>
          <w:szCs w:val="24"/>
        </w:rPr>
        <w:t xml:space="preserve">3. </w:t>
      </w:r>
      <w:r>
        <w:rPr>
          <w:b/>
          <w:bCs/>
          <w:color w:val="1A1A1A"/>
          <w:sz w:val="24"/>
          <w:szCs w:val="24"/>
        </w:rPr>
        <w:t xml:space="preserve">External Auto-Response</w:t>
      </w:r>
    </w:p>
    <w:p>
      <w:pPr>
        <w:spacing w:after="120" w:line="280"/>
      </w:pPr>
      <w:r>
        <w:rPr>
          <w:color w:val="1A1A1A"/>
          <w:sz w:val="21"/>
          <w:szCs w:val="21"/>
        </w:rPr>
        <w:t xml:space="preserve">Simultaneously, the prospect receives a branded confirmation that their inquiry was received.</w:t>
      </w:r>
    </w:p>
    <w:p>
      <w:pPr>
        <w:spacing w:after="20" w:before="100"/>
        <w:jc w:val="center"/>
      </w:pPr>
      <w:r>
        <w:drawing>
          <wp:inline distT="0" distB="0" distL="0" distR="0">
            <wp:extent cx="2476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8"/>
          <w:szCs w:val="18"/>
        </w:rPr>
        <w:t xml:space="preserve">Branded auto-response confirmation sent to the prospect</w:t>
      </w:r>
    </w:p>
    <w:p>
      <w:pPr>
        <w:spacing w:after="60" w:before="300"/>
      </w:pPr>
      <w:r>
        <w:rPr>
          <w:b/>
          <w:bCs/>
          <w:color w:val="1F5C99"/>
          <w:sz w:val="24"/>
          <w:szCs w:val="24"/>
        </w:rPr>
        <w:t xml:space="preserve">4. </w:t>
      </w:r>
      <w:r>
        <w:rPr>
          <w:b/>
          <w:bCs/>
          <w:color w:val="1A1A1A"/>
          <w:sz w:val="24"/>
          <w:szCs w:val="24"/>
        </w:rPr>
        <w:t xml:space="preserve">Duplicate Submission Test</w:t>
      </w:r>
    </w:p>
    <w:p>
      <w:pPr>
        <w:spacing w:after="120" w:line="280"/>
      </w:pPr>
      <w:r>
        <w:rPr>
          <w:color w:val="1A1A1A"/>
          <w:sz w:val="21"/>
          <w:szCs w:val="21"/>
        </w:rPr>
        <w:t xml:space="preserve">To test the Duplicate Rule, a second Lead was submitted using the same email address as Maria Chen's original Lead, but with a different name and company.</w:t>
      </w:r>
    </w:p>
    <w:p>
      <w:pPr>
        <w:spacing w:after="20" w:before="100"/>
        <w:jc w:val="center"/>
      </w:pPr>
      <w:r>
        <w:drawing>
          <wp:inline distT="0" distB="0" distL="0" distR="0">
            <wp:extent cx="3048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8"/>
          <w:szCs w:val="18"/>
        </w:rPr>
        <w:t xml:space="preserve">Web-to-Lead form submitted with a matching email address</w:t>
      </w:r>
    </w:p>
    <w:p>
      <w:pPr>
        <w:spacing w:after="60" w:before="300"/>
      </w:pPr>
      <w:r>
        <w:rPr>
          <w:b/>
          <w:bCs/>
          <w:color w:val="1F5C99"/>
          <w:sz w:val="24"/>
          <w:szCs w:val="24"/>
        </w:rPr>
        <w:t xml:space="preserve">5. </w:t>
      </w:r>
      <w:r>
        <w:rPr>
          <w:b/>
          <w:bCs/>
          <w:color w:val="1A1A1A"/>
          <w:sz w:val="24"/>
          <w:szCs w:val="24"/>
        </w:rPr>
        <w:t xml:space="preserve">Duplicate Lead — Created, Not Blocked</w:t>
      </w:r>
    </w:p>
    <w:p>
      <w:pPr>
        <w:spacing w:after="120" w:line="280"/>
      </w:pPr>
      <w:r>
        <w:rPr>
          <w:color w:val="1A1A1A"/>
          <w:sz w:val="21"/>
          <w:szCs w:val="21"/>
        </w:rPr>
        <w:t xml:space="preserve">Consistent with the Allow + Report configuration, the duplicate submission still creates a Lead record rather than failing silently. It's independently routed to General_Partnership_Pool based on its own (lower) contribution range.</w:t>
      </w:r>
    </w:p>
    <w:p>
      <w:pPr>
        <w:spacing w:after="20" w:before="100"/>
        <w:jc w:val="center"/>
      </w:pPr>
      <w:r>
        <w:drawing>
          <wp:inline distT="0" distB="0" distL="0" distR="0">
            <wp:extent cx="3810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8"/>
          <w:szCs w:val="18"/>
        </w:rPr>
        <w:t xml:space="preserve">Duplicate Lead record — created successfully, routed independently</w:t>
      </w:r>
    </w:p>
    <w:p>
      <w:pPr>
        <w:spacing w:after="60" w:before="300"/>
      </w:pPr>
      <w:r>
        <w:rPr>
          <w:b/>
          <w:bCs/>
          <w:color w:val="1F5C99"/>
          <w:sz w:val="24"/>
          <w:szCs w:val="24"/>
        </w:rPr>
        <w:t xml:space="preserve">6. </w:t>
      </w:r>
      <w:r>
        <w:rPr>
          <w:b/>
          <w:bCs/>
          <w:color w:val="1A1A1A"/>
          <w:sz w:val="24"/>
          <w:szCs w:val="24"/>
        </w:rPr>
        <w:t xml:space="preserve">Duplicate Flagged for Review</w:t>
      </w:r>
    </w:p>
    <w:p>
      <w:pPr>
        <w:spacing w:after="120" w:line="280"/>
      </w:pPr>
      <w:r>
        <w:rPr>
          <w:color w:val="1A1A1A"/>
          <w:sz w:val="21"/>
          <w:szCs w:val="21"/>
        </w:rPr>
        <w:t xml:space="preserve">Salesforce's Automated Process detects the match and generates a Duplicate Record Set and Duplicate Record Item, surfacing it for manual review/merge rather than silently dropping or silently duplicating the record.</w:t>
      </w:r>
    </w:p>
    <w:p>
      <w:pPr>
        <w:spacing w:after="20" w:before="100"/>
        <w:jc w:val="center"/>
      </w:pPr>
      <w:r>
        <w:drawing>
          <wp:inline distT="0" distB="0" distL="0" distR="0">
            <wp:extent cx="3238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8"/>
          <w:szCs w:val="18"/>
        </w:rPr>
        <w:t xml:space="preserve">Duplicate Record Item auto-generated by Salesforce's Automated Process</w:t>
      </w:r>
    </w:p>
    <w:p>
      <w:pPr>
        <w:pBdr>
          <w:top w:val="single" w:color="CCCCCC" w:sz="4" w:space="8"/>
        </w:pBdr>
        <w:spacing w:before="400"/>
      </w:pPr>
      <w:r>
        <w:rPr>
          <w:i/>
          <w:iCs/>
          <w:color w:val="5A5A5A"/>
          <w:sz w:val="20"/>
          <w:szCs w:val="20"/>
        </w:rPr>
        <w:t xml:space="preserve">Part of the ReliefBridge Salesforce portfolio project — Week 1 documentation.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26e43a5053f5d3a29e8938c0569a366e3f0442.png"/><Relationship Id="rId8" Type="http://schemas.openxmlformats.org/officeDocument/2006/relationships/image" Target="media/2bda3748af52bc1ca1cdabd222df694297108c9e.png"/><Relationship Id="rId9" Type="http://schemas.openxmlformats.org/officeDocument/2006/relationships/image" Target="media/7dda72146ab9321313a9febff0c9d363601a66ed.png"/><Relationship Id="rId10" Type="http://schemas.openxmlformats.org/officeDocument/2006/relationships/image" Target="media/bce2041a67ffb8e058127c599e63e1ae70591a94.png"/><Relationship Id="rId11" Type="http://schemas.openxmlformats.org/officeDocument/2006/relationships/image" Target="media/bd7b2b4848f5c992784903e56d2ff7a6a936616d.png"/><Relationship Id="rId12" Type="http://schemas.openxmlformats.org/officeDocument/2006/relationships/image" Target="media/4fde5ebede6851f12c325081c401069d5fff114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2026-09-21T23:53:48.580Z</dcterms:created>
  <dcterms:modified xsi:type="dcterms:W3CDTF">2026-09-21T23:53:48.589Z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