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6"/>
    <w:bookmarkEnd w:id="57"/>
    <w:bookmarkStart w:id="62" w:name="kmeans-clustering-salary-tiers"/>
    <w:p>
      <w:pPr>
        <w:pStyle w:val="Heading2"/>
      </w:pPr>
      <w:r>
        <w:t xml:space="preserve">KMeans Clustering: Salary Tiers</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0"/>
    <w:bookmarkStart w:id="6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3"/>
    <w:bookmarkStart w:id="7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4"/>
    <w:bookmarkStart w:id="81"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80"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Start w:id="79"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2026-04-21T00:08:50Z</dcterms:created>
  <dcterms:modified xsi:type="dcterms:W3CDTF">2026-04-21T00:08:50Z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ocite">
    <vt:lpwstr>@dominski2025advancingaicapabilitiesevolving, @PadmanabhaC.H.2024Ntjm, @doi:10.1177/23780231241259672</vt:lpwstr>
  </property>
  <property fmtid="{D5CDD505-2E9C-101B-9397-08002B2CF9AE}" pid="17" name="subtitle">
    <vt:lpwstr>Final Report</vt:lpwstr>
  </property>
  <property fmtid="{D5CDD505-2E9C-101B-9397-08002B2CF9AE}" pid="18" name="toc-title">
    <vt:lpwstr>Table of contents</vt:lpwstr>
  </property>
</Properties>
</file>