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Personal Job Market Prospects in 2024</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p>
    <w:p>
      <w:r>
        <w:pict>
          <v:rect style="width:0;height:1.5pt" o:hralign="center" o:hrstd="t" o:hr="t"/>
        </w:pict>
      </w:r>
    </w:p>
    <w:bookmarkStart w:id="20"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20"/>
    <w:bookmarkStart w:id="21"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21"/>
    <w:bookmarkStart w:id="22"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22"/>
    <w:bookmarkStart w:id="23"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23"/>
    <w:bookmarkStart w:id="24"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24"/>
    <w:bookmarkStart w:id="25" w:name="references"/>
    <w:p>
      <w:pPr>
        <w:pStyle w:val="Heading2"/>
      </w:pPr>
      <w:r>
        <w:t xml:space="preserve">References</w:t>
      </w:r>
    </w:p>
    <w:p>
      <w:r>
        <w:pict>
          <v:rect style="width:0;height:1.5pt" o:hralign="center" o:hrstd="t" o:hr="t"/>
        </w:pict>
      </w:r>
    </w:p>
    <w:p>
      <w:pPr>
        <w:pStyle w:val="FirstParagraph"/>
      </w:pPr>
      <w:r>
        <w:t xml:space="preserve">title:</w:t>
      </w:r>
      <w:r>
        <w:t xml:space="preserve"> </w:t>
      </w:r>
      <w:r>
        <w:t xml:space="preserve">“Data Preparation”</w:t>
      </w:r>
    </w:p>
    <w:p>
      <w:r>
        <w:pict>
          <v:rect style="width:0;height:1.5pt" o:hralign="center" o:hrstd="t" o:hr="t"/>
        </w:pict>
      </w:r>
    </w:p>
    <w:bookmarkEnd w:id="25"/>
    <w:bookmarkStart w:id="26"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26"/>
    <w:bookmarkStart w:id="27"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27"/>
    <w:bookmarkStart w:id="28"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28"/>
    <w:bookmarkStart w:id="29"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9"/>
    <w:bookmarkStart w:id="30"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30"/>
    <w:bookmarkStart w:id="31"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31"/>
    <w:bookmarkStart w:id="32"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32"/>
    <w:bookmarkStart w:id="33"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33"/>
    <w:bookmarkStart w:id="34"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3"/>
        </w:numPr>
      </w:pPr>
      <w:r>
        <w:t xml:space="preserve">more accurate summaries and charts</w:t>
      </w:r>
    </w:p>
    <w:p>
      <w:pPr>
        <w:pStyle w:val="Compact"/>
        <w:numPr>
          <w:ilvl w:val="0"/>
          <w:numId w:val="1003"/>
        </w:numPr>
      </w:pPr>
      <w:r>
        <w:t xml:space="preserve">better model performance</w:t>
      </w:r>
    </w:p>
    <w:p>
      <w:pPr>
        <w:pStyle w:val="Compact"/>
        <w:numPr>
          <w:ilvl w:val="0"/>
          <w:numId w:val="1003"/>
        </w:numPr>
      </w:pPr>
      <w:r>
        <w:t xml:space="preserve">clearer interpretation for job seekers</w:t>
      </w:r>
    </w:p>
    <w:p>
      <w:pPr>
        <w:pStyle w:val="Compact"/>
        <w:numPr>
          <w:ilvl w:val="0"/>
          <w:numId w:val="1003"/>
        </w:numPr>
      </w:pPr>
      <w:r>
        <w:t xml:space="preserve">more trustworthy career recommendations</w:t>
      </w:r>
    </w:p>
    <w:bookmarkEnd w:id="34"/>
    <w:bookmarkStart w:id="35"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4"/>
        </w:numPr>
      </w:pPr>
      <w:r>
        <w:t xml:space="preserve">exploratory analysis of salary, industry, and remote work patterns</w:t>
      </w:r>
    </w:p>
    <w:p>
      <w:pPr>
        <w:pStyle w:val="Compact"/>
        <w:numPr>
          <w:ilvl w:val="0"/>
          <w:numId w:val="1004"/>
        </w:numPr>
      </w:pPr>
      <w:r>
        <w:t xml:space="preserve">clustering by occupation or industry categories</w:t>
      </w:r>
    </w:p>
    <w:p>
      <w:pPr>
        <w:pStyle w:val="Compact"/>
        <w:numPr>
          <w:ilvl w:val="0"/>
          <w:numId w:val="1004"/>
        </w:numPr>
      </w:pPr>
      <w:r>
        <w:t xml:space="preserve">regression models predicting salary</w:t>
      </w:r>
    </w:p>
    <w:p>
      <w:pPr>
        <w:pStyle w:val="Compact"/>
        <w:numPr>
          <w:ilvl w:val="0"/>
          <w:numId w:val="1004"/>
        </w:numPr>
      </w:pPr>
      <w:r>
        <w:t xml:space="preserve">classification models predicting job categories or remote work type</w:t>
      </w:r>
    </w:p>
    <w:p>
      <w:r>
        <w:pict>
          <v:rect style="width:0;height:1.5pt" o:hralign="center" o:hrstd="t" o:hr="t"/>
        </w:pict>
      </w:r>
    </w:p>
    <w:p>
      <w:pPr>
        <w:pStyle w:val="FirstParagraph"/>
      </w:pPr>
      <w:r>
        <w:t xml:space="preserve">title:</w:t>
      </w:r>
      <w:r>
        <w:t xml:space="preserve"> </w:t>
      </w:r>
      <w:r>
        <w:t xml:space="preserve">“Exploratory Data Analysis”</w:t>
      </w:r>
    </w:p>
    <w:p>
      <w:r>
        <w:pict>
          <v:rect style="width:0;height:1.5pt" o:hralign="center" o:hrstd="t" o:hr="t"/>
        </w:pict>
      </w:r>
    </w:p>
    <w:bookmarkEnd w:id="35"/>
    <w:bookmarkStart w:id="36"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36"/>
    <w:bookmarkStart w:id="37"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37"/>
    <w:bookmarkStart w:id="38"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8"/>
    <w:bookmarkStart w:id="39"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39"/>
    <w:bookmarkStart w:id="40"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40"/>
    <w:bookmarkStart w:id="41"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p>
      <w:r>
        <w:pict>
          <v:rect style="width:0;height:1.5pt" o:hralign="center" o:hrstd="t" o:hr="t"/>
        </w:pict>
      </w:r>
    </w:p>
    <w:p>
      <w:pPr>
        <w:pStyle w:val="FirstParagraph"/>
      </w:pPr>
      <w:r>
        <w:t xml:space="preserve">title:</w:t>
      </w:r>
      <w:r>
        <w:t xml:space="preserve"> </w:t>
      </w:r>
      <w:r>
        <w:t xml:space="preserve">“Predictive Modeling”</w:t>
      </w:r>
    </w:p>
    <w:p>
      <w:r>
        <w:pict>
          <v:rect style="width:0;height:1.5pt" o:hralign="center" o:hrstd="t" o:hr="t"/>
        </w:pict>
      </w:r>
    </w:p>
    <w:bookmarkEnd w:id="41"/>
    <w:bookmarkStart w:id="42"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groupings in the job market based on industry and occupation profile.</w:t>
      </w:r>
    </w:p>
    <w:bookmarkEnd w:id="42"/>
    <w:bookmarkStart w:id="48" w:name="regression-model-predicting-salary"/>
    <w:p>
      <w:pPr>
        <w:pStyle w:val="Heading2"/>
      </w:pPr>
      <w:r>
        <w:t xml:space="preserve">Regression Model: Predicting Salary</w:t>
      </w:r>
    </w:p>
    <w:bookmarkStart w:id="43"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3"/>
    <w:bookmarkStart w:id="44"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4"/>
    <w:bookmarkStart w:id="45"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45"/>
    <w:bookmarkStart w:id="4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6"/>
    <w:bookmarkStart w:id="47" w:name="interpretation"/>
    <w:p>
      <w:pPr>
        <w:pStyle w:val="Heading3"/>
      </w:pPr>
      <w:r>
        <w:t xml:space="preserve">Interpretation</w:t>
      </w:r>
    </w:p>
    <w:p>
      <w:pPr>
        <w:pStyle w:val="FirstParagraph"/>
      </w:pPr>
      <w:r>
        <w:t xml:space="preserve">Model 1 has an R2 of 0.0094, meaning it explains less than 1% of salary variance. Adding occupation category and years of experience in Model 2 improved R2 to approximately 9.5% and reduced RMSE by roughly $1,400. While this represents a meaningful improvement, the overall explanatory power remains modest. This is an informative finding rather than a limitation — it indicates that the publicly observable characteristics of a job posting explain very little of what determines salary. Factors such as company size, individual negotiation, specific technical depth, and internal compensation structures account for the remaining variance. Salary is far more individualized than any job listing captures.</w:t>
      </w:r>
    </w:p>
    <w:bookmarkEnd w:id="47"/>
    <w:bookmarkEnd w:id="48"/>
    <w:bookmarkStart w:id="57" w:name="Xf91956ffdb848b1b2a4a04268d4ab2696581501"/>
    <w:p>
      <w:pPr>
        <w:pStyle w:val="Heading2"/>
      </w:pPr>
      <w:r>
        <w:t xml:space="preserve">Classification Model: Predicting AI vs Non-AI Roles</w:t>
      </w:r>
    </w:p>
    <w:bookmarkStart w:id="4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9"/>
    <w:bookmarkStart w:id="50"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50"/>
    <w:bookmarkStart w:id="51"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51"/>
    <w:bookmarkStart w:id="55"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53" name="Picture"/>
            <a:graphic>
              <a:graphicData uri="http://schemas.openxmlformats.org/drawingml/2006/picture">
                <pic:pic>
                  <pic:nvPicPr>
                    <pic:cNvPr descr="outputs/confusion_matrix.png" id="54" name="Picture"/>
                    <pic:cNvPicPr>
                      <a:picLocks noChangeArrowheads="1" noChangeAspect="1"/>
                    </pic:cNvPicPr>
                  </pic:nvPicPr>
                  <pic:blipFill>
                    <a:blip r:embed="rId5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5"/>
    <w:bookmarkStart w:id="56"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What distinguishes an AI role is the specific language in the job title and required skills, not the broader structural features used here. Students searching for AI roles should focus on job titles and skills requirements directly rather than filtering by industry or occupation type alone.</w:t>
      </w:r>
    </w:p>
    <w:bookmarkEnd w:id="56"/>
    <w:bookmarkEnd w:id="57"/>
    <w:bookmarkStart w:id="62" w:name="X6175c2016eab8da9cb0ae6131100792687d2bb2"/>
    <w:p>
      <w:pPr>
        <w:pStyle w:val="Heading2"/>
      </w:pPr>
      <w:r>
        <w:t xml:space="preserve">KMeans Clustering: Job Market Segmentation</w:t>
      </w:r>
    </w:p>
    <w:bookmarkStart w:id="58" w:name="objective-3"/>
    <w:p>
      <w:pPr>
        <w:pStyle w:val="Heading3"/>
      </w:pPr>
      <w:r>
        <w:t xml:space="preserve">Objective</w:t>
      </w:r>
    </w:p>
    <w:p>
      <w:pPr>
        <w:pStyle w:val="FirstParagraph"/>
      </w:pPr>
      <w:r>
        <w:t xml:space="preserve">KMeans clustering was used to identify natural groupings in the job market based on industry, occupation category, and AI role status. Salary was intentionally excluded as a clustering feature and instead observed as an outcome across clusters to avoid circularity.</w:t>
      </w:r>
    </w:p>
    <w:bookmarkEnd w:id="58"/>
    <w:bookmarkStart w:id="59"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r>
        <w:br/>
      </w:r>
      <w:r>
        <w:br/>
      </w:r>
      <w:r>
        <w:rPr>
          <w:rStyle w:val="NormalTok"/>
        </w:rPr>
        <w:t xml:space="preserve">clusters.groupBy(</w:t>
      </w:r>
      <w:r>
        <w:rPr>
          <w:rStyle w:val="StringTok"/>
        </w:rPr>
        <w:t xml:space="preserve">"prediction"</w:t>
      </w:r>
      <w:r>
        <w:rPr>
          <w:rStyle w:val="NormalTok"/>
        </w:rPr>
        <w:t xml:space="preserve">).count().orderBy(</w:t>
      </w:r>
      <w:r>
        <w:rPr>
          <w:rStyle w:val="StringTok"/>
        </w:rPr>
        <w:t xml:space="preserve">"prediction"</w:t>
      </w:r>
      <w:r>
        <w:rPr>
          <w:rStyle w:val="NormalTok"/>
        </w:rPr>
        <w:t xml:space="preserve">).show()</w:t>
      </w:r>
    </w:p>
    <w:bookmarkEnd w:id="59"/>
    <w:bookmarkStart w:id="60"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0|116955.04511258555|</w:t>
      </w:r>
      <w:r>
        <w:br/>
      </w:r>
      <w:r>
        <w:rPr>
          <w:rStyle w:val="VerbatimChar"/>
        </w:rPr>
        <w:t xml:space="preserve">|         0|         1|116227.77811139468|</w:t>
      </w:r>
      <w:r>
        <w:br/>
      </w:r>
      <w:r>
        <w:rPr>
          <w:rStyle w:val="VerbatimChar"/>
        </w:rPr>
        <w:t xml:space="preserve">|         1|         0|105665.59209323583|</w:t>
      </w:r>
      <w:r>
        <w:br/>
      </w:r>
      <w:r>
        <w:rPr>
          <w:rStyle w:val="VerbatimChar"/>
        </w:rPr>
        <w:t xml:space="preserve">|         1|         1|110155.23738170347|</w:t>
      </w:r>
      <w:r>
        <w:br/>
      </w:r>
      <w:r>
        <w:rPr>
          <w:rStyle w:val="VerbatimChar"/>
        </w:rPr>
        <w:t xml:space="preserve">|         2|         0|103838.20879984286|</w:t>
      </w:r>
      <w:r>
        <w:br/>
      </w:r>
      <w:r>
        <w:rPr>
          <w:rStyle w:val="VerbatimChar"/>
        </w:rPr>
        <w:t xml:space="preserve">|         2|         1|105275.40979489326|</w:t>
      </w:r>
      <w:r>
        <w:br/>
      </w:r>
      <w:r>
        <w:rPr>
          <w:rStyle w:val="VerbatimChar"/>
        </w:rPr>
        <w:t xml:space="preserve">|         3|         0|114011.06655818384|</w:t>
      </w:r>
      <w:r>
        <w:br/>
      </w:r>
      <w:r>
        <w:rPr>
          <w:rStyle w:val="VerbatimChar"/>
        </w:rPr>
        <w:t xml:space="preserve">|         3|         1|114671.99140005348|</w:t>
      </w:r>
      <w:r>
        <w:br/>
      </w:r>
      <w:r>
        <w:rPr>
          <w:rStyle w:val="VerbatimChar"/>
        </w:rPr>
        <w:t xml:space="preserve">+----------+----------+------------------+</w:t>
      </w:r>
      <w:r>
        <w:br/>
      </w:r>
      <w:r>
        <w:br/>
      </w:r>
      <w:r>
        <w:rPr>
          <w:rStyle w:val="VerbatimChar"/>
        </w:rPr>
        <w:t xml:space="preserve">+----------+-----+</w:t>
      </w:r>
      <w:r>
        <w:br/>
      </w:r>
      <w:r>
        <w:rPr>
          <w:rStyle w:val="VerbatimChar"/>
        </w:rPr>
        <w:t xml:space="preserve">|prediction|count|</w:t>
      </w:r>
      <w:r>
        <w:br/>
      </w:r>
      <w:r>
        <w:rPr>
          <w:rStyle w:val="VerbatimChar"/>
        </w:rPr>
        <w:t xml:space="preserve">+----------+-----+</w:t>
      </w:r>
      <w:r>
        <w:br/>
      </w:r>
      <w:r>
        <w:rPr>
          <w:rStyle w:val="VerbatimChar"/>
        </w:rPr>
        <w:t xml:space="preserve">|         0|32463|</w:t>
      </w:r>
      <w:r>
        <w:br/>
      </w:r>
      <w:r>
        <w:rPr>
          <w:rStyle w:val="VerbatimChar"/>
        </w:rPr>
        <w:t xml:space="preserve">|         1| 4724|</w:t>
      </w:r>
      <w:r>
        <w:br/>
      </w:r>
      <w:r>
        <w:rPr>
          <w:rStyle w:val="VerbatimChar"/>
        </w:rPr>
        <w:t xml:space="preserve">|         2| 9869|</w:t>
      </w:r>
      <w:r>
        <w:br/>
      </w:r>
      <w:r>
        <w:rPr>
          <w:rStyle w:val="VerbatimChar"/>
        </w:rPr>
        <w:t xml:space="preserve">|         3|23819|</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Job Count</w:t>
            </w:r>
          </w:p>
        </w:tc>
        <w:tc>
          <w:tcPr/>
          <w:p>
            <w:pPr>
              <w:pStyle w:val="Compact"/>
            </w:pPr>
            <w:r>
              <w:t xml:space="preserve">Avg Salary (Non-AI)</w:t>
            </w:r>
          </w:p>
        </w:tc>
        <w:tc>
          <w:tcPr/>
          <w:p>
            <w:pPr>
              <w:pStyle w:val="Compact"/>
            </w:pPr>
            <w:r>
              <w:t xml:space="preserve">Avg Salary (AI)</w:t>
            </w:r>
          </w:p>
        </w:tc>
      </w:tr>
      <w:tr>
        <w:tc>
          <w:tcPr/>
          <w:p>
            <w:pPr>
              <w:pStyle w:val="Compact"/>
            </w:pPr>
            <w:r>
              <w:t xml:space="preserve">Cluster 0</w:t>
            </w:r>
          </w:p>
        </w:tc>
        <w:tc>
          <w:tcPr/>
          <w:p>
            <w:pPr>
              <w:pStyle w:val="Compact"/>
            </w:pPr>
            <w:r>
              <w:t xml:space="preserve">32,463</w:t>
            </w:r>
          </w:p>
        </w:tc>
        <w:tc>
          <w:tcPr/>
          <w:p>
            <w:pPr>
              <w:pStyle w:val="Compact"/>
            </w:pPr>
            <w:r>
              <w:t xml:space="preserve">$116,955</w:t>
            </w:r>
          </w:p>
        </w:tc>
        <w:tc>
          <w:tcPr/>
          <w:p>
            <w:pPr>
              <w:pStyle w:val="Compact"/>
            </w:pPr>
            <w:r>
              <w:t xml:space="preserve">$116,228</w:t>
            </w:r>
          </w:p>
        </w:tc>
      </w:tr>
      <w:tr>
        <w:tc>
          <w:tcPr/>
          <w:p>
            <w:pPr>
              <w:pStyle w:val="Compact"/>
            </w:pPr>
            <w:r>
              <w:t xml:space="preserve">Cluster 1</w:t>
            </w:r>
          </w:p>
        </w:tc>
        <w:tc>
          <w:tcPr/>
          <w:p>
            <w:pPr>
              <w:pStyle w:val="Compact"/>
            </w:pPr>
            <w:r>
              <w:t xml:space="preserve">4,724</w:t>
            </w:r>
          </w:p>
        </w:tc>
        <w:tc>
          <w:tcPr/>
          <w:p>
            <w:pPr>
              <w:pStyle w:val="Compact"/>
            </w:pPr>
            <w:r>
              <w:t xml:space="preserve">$105,666</w:t>
            </w:r>
          </w:p>
        </w:tc>
        <w:tc>
          <w:tcPr/>
          <w:p>
            <w:pPr>
              <w:pStyle w:val="Compact"/>
            </w:pPr>
            <w:r>
              <w:t xml:space="preserve">$110,155</w:t>
            </w:r>
          </w:p>
        </w:tc>
      </w:tr>
      <w:tr>
        <w:tc>
          <w:tcPr/>
          <w:p>
            <w:pPr>
              <w:pStyle w:val="Compact"/>
            </w:pPr>
            <w:r>
              <w:t xml:space="preserve">Cluster 2</w:t>
            </w:r>
          </w:p>
        </w:tc>
        <w:tc>
          <w:tcPr/>
          <w:p>
            <w:pPr>
              <w:pStyle w:val="Compact"/>
            </w:pPr>
            <w:r>
              <w:t xml:space="preserve">9,869</w:t>
            </w:r>
          </w:p>
        </w:tc>
        <w:tc>
          <w:tcPr/>
          <w:p>
            <w:pPr>
              <w:pStyle w:val="Compact"/>
            </w:pPr>
            <w:r>
              <w:t xml:space="preserve">$103,838</w:t>
            </w:r>
          </w:p>
        </w:tc>
        <w:tc>
          <w:tcPr/>
          <w:p>
            <w:pPr>
              <w:pStyle w:val="Compact"/>
            </w:pPr>
            <w:r>
              <w:t xml:space="preserve">$105,275</w:t>
            </w:r>
          </w:p>
        </w:tc>
      </w:tr>
      <w:tr>
        <w:tc>
          <w:tcPr/>
          <w:p>
            <w:pPr>
              <w:pStyle w:val="Compact"/>
            </w:pPr>
            <w:r>
              <w:t xml:space="preserve">Cluster 3</w:t>
            </w:r>
          </w:p>
        </w:tc>
        <w:tc>
          <w:tcPr/>
          <w:p>
            <w:pPr>
              <w:pStyle w:val="Compact"/>
            </w:pPr>
            <w:r>
              <w:t xml:space="preserve">23,819</w:t>
            </w:r>
          </w:p>
        </w:tc>
        <w:tc>
          <w:tcPr/>
          <w:p>
            <w:pPr>
              <w:pStyle w:val="Compact"/>
            </w:pPr>
            <w:r>
              <w:t xml:space="preserve">$114,011</w:t>
            </w:r>
          </w:p>
        </w:tc>
        <w:tc>
          <w:tcPr/>
          <w:p>
            <w:pPr>
              <w:pStyle w:val="Compact"/>
            </w:pPr>
            <w:r>
              <w:t xml:space="preserve">$114,672</w:t>
            </w:r>
          </w:p>
        </w:tc>
      </w:tr>
    </w:tbl>
    <w:bookmarkEnd w:id="60"/>
    <w:bookmarkStart w:id="61" w:name="interpretation-2"/>
    <w:p>
      <w:pPr>
        <w:pStyle w:val="Heading3"/>
      </w:pPr>
      <w:r>
        <w:t xml:space="preserve">Interpretation</w:t>
      </w:r>
    </w:p>
    <w:p>
      <w:pPr>
        <w:pStyle w:val="FirstParagraph"/>
      </w:pPr>
      <w:r>
        <w:t xml:space="preserve">When clustering on industry, occupation, and AI role status without salary as a feature, the four clusters represent distinct job market segments defined by structural characteristics rather than compensation. Observing salary as an outcome across these clusters, the average salaries range from approximately $104,000 to $117,000 — a narrow spread of roughly $13,000 across all groups.</w:t>
      </w:r>
    </w:p>
    <w:p>
      <w:pPr>
        <w:pStyle w:val="BodyText"/>
      </w:pPr>
      <w:r>
        <w:t xml:space="preserve">This finding is consistent with the regression results. Structural job characteristics such as industry and occupation category explain very little salary variation. Within every cluster, AI and non-AI roles also earn similar average salaries, reinforcing the central conclusion of this analysis: AI designation alone does not meaningfully drive compensation. The factors that matter most — company, experience depth, negotiation, and individual skill profile — are not captured in job posting data.</w:t>
      </w:r>
    </w:p>
    <w:p>
      <w:r>
        <w:pict>
          <v:rect style="width:0;height:1.5pt" o:hralign="center" o:hrstd="t" o:hr="t"/>
        </w:pict>
      </w:r>
    </w:p>
    <w:p>
      <w:pPr>
        <w:pStyle w:val="FirstParagraph"/>
      </w:pPr>
      <w:r>
        <w:t xml:space="preserve">title:</w:t>
      </w:r>
      <w:r>
        <w:t xml:space="preserve"> </w:t>
      </w:r>
      <w:r>
        <w:t xml:space="preserve">“Skill Gap Analysis”</w:t>
      </w:r>
    </w:p>
    <w:p>
      <w:r>
        <w:pict>
          <v:rect style="width:0;height:1.5pt" o:hralign="center" o:hrstd="t" o:hr="t"/>
        </w:pict>
      </w:r>
    </w:p>
    <w:bookmarkEnd w:id="61"/>
    <w:bookmarkEnd w:id="62"/>
    <w:bookmarkStart w:id="63"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3"/>
    <w:bookmarkStart w:id="64"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4"/>
    <w:bookmarkStart w:id="65"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5"/>
    <w:bookmarkStart w:id="66"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6"/>
    <w:bookmarkStart w:id="67"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7"/>
    <w:bookmarkStart w:id="68"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p>
      <w:r>
        <w:pict>
          <v:rect style="width:0;height:1.5pt" o:hralign="center" o:hrstd="t" o:hr="t"/>
        </w:pict>
      </w:r>
    </w:p>
    <w:p>
      <w:pPr>
        <w:pStyle w:val="FirstParagraph"/>
      </w:pPr>
      <w:r>
        <w:t xml:space="preserve">title:</w:t>
      </w:r>
      <w:r>
        <w:t xml:space="preserve"> </w:t>
      </w:r>
      <w:r>
        <w:t xml:space="preserve">“Career Strategy”</w:t>
      </w:r>
    </w:p>
    <w:p>
      <w:r>
        <w:pict>
          <v:rect style="width:0;height:1.5pt" o:hralign="center" o:hrstd="t" o:hr="t"/>
        </w:pict>
      </w:r>
    </w:p>
    <w:bookmarkEnd w:id="68"/>
    <w:bookmarkStart w:id="69"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9"/>
    <w:bookmarkStart w:id="70"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70"/>
    <w:bookmarkStart w:id="71"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71"/>
    <w:bookmarkStart w:id="72"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2"/>
    <w:bookmarkStart w:id="78"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p>
      <w:r>
        <w:pict>
          <v:rect style="width:0;height:1.5pt" o:hralign="center" o:hrstd="t" o:hr="t"/>
        </w:pict>
      </w:r>
    </w:p>
    <w:p>
      <w:pPr>
        <w:pStyle w:val="FirstParagraph"/>
      </w:pPr>
      <w:r>
        <w:t xml:space="preserve">title:</w:t>
      </w:r>
      <w:r>
        <w:t xml:space="preserve"> </w:t>
      </w:r>
      <w:r>
        <w:t xml:space="preserve">“Team Contributions”</w:t>
      </w:r>
    </w:p>
    <w:p>
      <w:r>
        <w:pict>
          <v:rect style="width:0;height:1.5pt" o:hralign="center" o:hrstd="t" o:hr="t"/>
        </w:pict>
      </w:r>
    </w:p>
    <w:p>
      <w:pPr>
        <w:numPr>
          <w:ilvl w:val="0"/>
          <w:numId w:val="1005"/>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managed GitHub and GitHub Pages deployment throughout the project, designed and formatted the final presentation including all visual layout and slide content, and addressed all professor feedback including correcting the KMeans clustering methodology to remove salary as a feature and fixing the R-squared interpretation across the regression results</w:t>
      </w:r>
    </w:p>
    <w:p>
      <w:pPr>
        <w:numPr>
          <w:ilvl w:val="0"/>
          <w:numId w:val="1005"/>
        </w:numPr>
      </w:pPr>
      <w:r>
        <w:rPr>
          <w:b/>
          <w:bCs/>
        </w:rPr>
        <w:t xml:space="preserve">Oscar Quintero</w:t>
      </w:r>
      <w:r>
        <w:t xml:space="preserve"> </w:t>
      </w:r>
      <w:r>
        <w:t xml:space="preserve">— sourced, researched, and formatted the academic references in BibTeX for the literature review</w:t>
      </w:r>
    </w:p>
    <w:p>
      <w:pPr>
        <w:numPr>
          <w:ilvl w:val="0"/>
          <w:numId w:val="1005"/>
        </w:numPr>
      </w:pPr>
      <w:r>
        <w:rPr>
          <w:b/>
          <w:bCs/>
        </w:rPr>
        <w:t xml:space="preserve">Nicholas Decesaris</w:t>
      </w:r>
      <w:r>
        <w:t xml:space="preserve"> </w:t>
      </w:r>
      <w:r>
        <w:t xml:space="preserve">— created the initial organization and structure for the final presentation</w:t>
      </w:r>
    </w:p>
    <w:p>
      <w:r>
        <w:pict>
          <v:rect style="width:0;height:1.5pt" o:hralign="center" o:hrstd="t" o:hr="t"/>
        </w:pict>
      </w:r>
    </w:p>
    <w:p>
      <w:pPr>
        <w:pStyle w:val="FirstParagraph"/>
      </w:pPr>
      <w:r>
        <w:t xml:space="preserve">title:</w:t>
      </w:r>
      <w:r>
        <w:t xml:space="preserve"> </w:t>
      </w:r>
      <w:r>
        <w:t xml:space="preserve">“AI Transparency”</w:t>
      </w:r>
    </w:p>
    <w:p>
      <w:r>
        <w:pict>
          <v:rect style="width:0;height:1.5pt" o:hralign="center" o:hrstd="t" o:hr="t"/>
        </w:pict>
      </w:r>
    </w:p>
    <w:p>
      <w:pPr>
        <w:pStyle w:val="FirstParagraph"/>
      </w:pPr>
      <w:r>
        <w:t xml:space="preserve">This project used Claude (Sonnet 4.6, Anthropic) as an AI assistant throughout the development process. A lot of this project involved tools and workflows that were new to me, so the approach was a mix of using the professor’s lecture videos as the primary reference and turning to Claude when something wasn’t working or I wasn’t sure why.</w:t>
      </w:r>
    </w:p>
    <w:p>
      <w:pPr>
        <w:pStyle w:val="BodyText"/>
      </w:pPr>
      <w:r>
        <w:t xml:space="preserve">Claude helped with things like PySpark syntax, debugging data pipeline errors, and troubleshooting issues that came up along the way. Some of the more specific problems it helped with included figuring out that the SALARY column actually contained SOC occupation codes instead of salary values, fixing a git history issue after large files were accidentally committed, getting kaleido and Chrome set up for Plotly image export, and sorting out a citation key mismatch in the BibTeX file.</w:t>
      </w:r>
    </w:p>
    <w:p>
      <w:pPr>
        <w:pStyle w:val="BodyText"/>
      </w:pPr>
      <w:r>
        <w:t xml:space="preserve">It also helped with structuring the Quarto pages, catching grammatical errors in the written sections, and giving guidance on how to approach the machine learning models and their evaluation.</w:t>
      </w:r>
    </w:p>
    <w:p>
      <w:pPr>
        <w:pStyle w:val="BodyText"/>
      </w:pPr>
      <w:r>
        <w:t xml:space="preserve">That said, all of the actual decisions about what to analyze, which features to use, how to interpret the results, and what conclusions to draw were mine. Claude was used as a tool to help get things working and to improve the writing, not to make analytical or research decisions. The dataset, models, and findings are original work.</w:t>
      </w:r>
    </w:p>
    <w:bookmarkStart w:id="77" w:name="refs"/>
    <w:bookmarkStart w:id="74" w:name="ref-doi:10.1177/23780231241259672"/>
    <w:p>
      <w:pPr>
        <w:pStyle w:val="Bibliography"/>
      </w:pPr>
      <w:r>
        <w:rPr>
          <w:smallCaps/>
        </w:rPr>
        <w:t xml:space="preserve">Dahlin, E.</w:t>
      </w:r>
      <w:r>
        <w:t xml:space="preserve"> (2024):</w:t>
      </w:r>
      <w:r>
        <w:t xml:space="preserve"> </w:t>
      </w:r>
      <w:r>
        <w:t xml:space="preserve">“</w:t>
      </w:r>
      <w:hyperlink r:id="rId73">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74"/>
    <w:bookmarkStart w:id="76" w:name="Xb42a6780c94b8d118173c0eeec658459df1c365"/>
    <w:p>
      <w:pPr>
        <w:pStyle w:val="Bibliography"/>
      </w:pPr>
      <w:r>
        <w:rPr>
          <w:smallCaps/>
        </w:rPr>
        <w:t xml:space="preserve">Dominski, J., and Y. S. Lee</w:t>
      </w:r>
      <w:r>
        <w:t xml:space="preserve">. (2025):</w:t>
      </w:r>
      <w:r>
        <w:t xml:space="preserve"> </w:t>
      </w:r>
      <w:r>
        <w:t xml:space="preserve">“</w:t>
      </w:r>
      <w:hyperlink r:id="rId75">
        <w:r>
          <w:rPr>
            <w:rStyle w:val="Hyperlink"/>
          </w:rPr>
          <w:t xml:space="preserve">Advancing AI Capabilities and Evolving Labor Outcomes</w:t>
        </w:r>
      </w:hyperlink>
      <w:r>
        <w:t xml:space="preserve">,”</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hyperlink" Id="rId75" Target="https://arxiv.org/abs/2507.08244" TargetMode="External" /><Relationship Type="http://schemas.openxmlformats.org/officeDocument/2006/relationships/hyperlink" Id="rId73"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75" Target="https://arxiv.org/abs/2507.08244" TargetMode="External" /><Relationship Type="http://schemas.openxmlformats.org/officeDocument/2006/relationships/hyperlink" Id="rId73"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Manjari Kannan; Nicholas Decesaris; Oscar Quintero</dc:creator>
  <cp:keywords/>
  <dcterms:created xsi:type="dcterms:W3CDTF">2026-04-24T15:24:49Z</dcterms:created>
  <dcterms:modified xsi:type="dcterms:W3CDTF">2026-04-24T15:24:49Z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