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r>
        <w:t xml:space="preserve"> </w:t>
      </w:r>
      <w:r>
        <w:t xml:space="preserve">—</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12"/>
    <w:bookmarkStart w:id="13" w:name="all-references-used"/>
    <w:p>
      <w:pPr>
        <w:pStyle w:val="Heading2"/>
      </w:pPr>
      <w:r>
        <w:t xml:space="preserve">All References Used:</w:t>
      </w:r>
    </w:p>
    <w:p>
      <w:pPr>
        <w:numPr>
          <w:ilvl w:val="0"/>
          <w:numId w:val="1002"/>
        </w:numPr>
      </w:pPr>
      <w:r>
        <w:t xml:space="preserve">Dominski, J., and Y. S. Lee (2025):</w:t>
      </w:r>
      <w:r>
        <w:t xml:space="preserve"> </w:t>
      </w:r>
      <w:r>
        <w:t xml:space="preserve">“Advancing AI Capabilities and Evolving Labor Outcomes.”</w:t>
      </w:r>
    </w:p>
    <w:p>
      <w:pPr>
        <w:numPr>
          <w:ilvl w:val="0"/>
          <w:numId w:val="1002"/>
        </w:numPr>
      </w:pPr>
      <w:r>
        <w:t xml:space="preserve">Padmanabha, C. H. (2024):</w:t>
      </w:r>
      <w:r>
        <w:t xml:space="preserve"> </w:t>
      </w:r>
      <w:r>
        <w:t xml:space="preserve">“The Impact of Artificial Intelligence on Employment and Wage Inequality.”</w:t>
      </w:r>
    </w:p>
    <w:p>
      <w:pPr>
        <w:numPr>
          <w:ilvl w:val="0"/>
          <w:numId w:val="1002"/>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13"/>
    <w:bookmarkStart w:id="14" w:name="references"/>
    <w:p>
      <w:pPr>
        <w:pStyle w:val="Heading2"/>
      </w:pPr>
      <w:r>
        <w:t xml:space="preserve">References</w:t>
      </w:r>
    </w:p>
    <w:bookmarkEnd w:id="14"/>
    <w:bookmarkStart w:id="15"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5"/>
    <w:bookmarkStart w:id="16"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6"/>
    <w:bookmarkStart w:id="17"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7"/>
    <w:bookmarkStart w:id="18"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8"/>
    <w:bookmarkStart w:id="19"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9"/>
    <w:bookmarkStart w:id="20"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20"/>
    <w:bookmarkStart w:id="21"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1"/>
    <w:bookmarkStart w:id="22"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2"/>
    <w:bookmarkStart w:id="23"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3"/>
        </w:numPr>
      </w:pPr>
      <w:r>
        <w:t xml:space="preserve">more accurate summaries and charts</w:t>
      </w:r>
    </w:p>
    <w:p>
      <w:pPr>
        <w:pStyle w:val="Compact"/>
        <w:numPr>
          <w:ilvl w:val="0"/>
          <w:numId w:val="1003"/>
        </w:numPr>
      </w:pPr>
      <w:r>
        <w:t xml:space="preserve">better model performance</w:t>
      </w:r>
    </w:p>
    <w:p>
      <w:pPr>
        <w:pStyle w:val="Compact"/>
        <w:numPr>
          <w:ilvl w:val="0"/>
          <w:numId w:val="1003"/>
        </w:numPr>
      </w:pPr>
      <w:r>
        <w:t xml:space="preserve">clearer interpretation for job seekers</w:t>
      </w:r>
    </w:p>
    <w:p>
      <w:pPr>
        <w:pStyle w:val="Compact"/>
        <w:numPr>
          <w:ilvl w:val="0"/>
          <w:numId w:val="1003"/>
        </w:numPr>
      </w:pPr>
      <w:r>
        <w:t xml:space="preserve">more trustworthy career recommendations</w:t>
      </w:r>
    </w:p>
    <w:bookmarkEnd w:id="23"/>
    <w:bookmarkStart w:id="24"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4"/>
        </w:numPr>
      </w:pPr>
      <w:r>
        <w:t xml:space="preserve">exploratory analysis of salary, industry, and remote work patterns</w:t>
      </w:r>
    </w:p>
    <w:p>
      <w:pPr>
        <w:pStyle w:val="Compact"/>
        <w:numPr>
          <w:ilvl w:val="0"/>
          <w:numId w:val="1004"/>
        </w:numPr>
      </w:pPr>
      <w:r>
        <w:t xml:space="preserve">clustering by occupation or industry categories</w:t>
      </w:r>
    </w:p>
    <w:p>
      <w:pPr>
        <w:pStyle w:val="Compact"/>
        <w:numPr>
          <w:ilvl w:val="0"/>
          <w:numId w:val="1004"/>
        </w:numPr>
      </w:pPr>
      <w:r>
        <w:t xml:space="preserve">regression models predicting salary</w:t>
      </w:r>
    </w:p>
    <w:p>
      <w:pPr>
        <w:pStyle w:val="Compact"/>
        <w:numPr>
          <w:ilvl w:val="0"/>
          <w:numId w:val="1004"/>
        </w:numPr>
      </w:pPr>
      <w:r>
        <w:t xml:space="preserve">classification models predicting job categories or remote work type</w:t>
      </w:r>
    </w:p>
    <w:p>
      <w:r>
        <w:pict>
          <v:rect style="width:0;height:1.5pt" o:hralign="center" o:hrstd="t" o:hr="t"/>
        </w:pict>
      </w:r>
    </w:p>
    <w:bookmarkEnd w:id="24"/>
    <w:bookmarkStart w:id="25" w:name="title-exploratory-data-analysis"/>
    <w:p>
      <w:pPr>
        <w:pStyle w:val="Heading2"/>
      </w:pPr>
      <w:r>
        <w:t xml:space="preserve">title:</w:t>
      </w:r>
      <w:r>
        <w:t xml:space="preserve"> </w:t>
      </w:r>
      <w:r>
        <w:t xml:space="preserve">“Exploratory Data Analysis”</w:t>
      </w:r>
    </w:p>
    <w:bookmarkEnd w:id="25"/>
    <w:bookmarkStart w:id="26"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6"/>
    <w:bookmarkStart w:id="27"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27"/>
    <w:bookmarkStart w:id="28"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8"/>
    <w:bookmarkStart w:id="29"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29"/>
    <w:bookmarkStart w:id="30"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0"/>
    <w:bookmarkStart w:id="31"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31"/>
    <w:bookmarkStart w:id="32"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w:t>
      </w:r>
    </w:p>
    <w:bookmarkEnd w:id="32"/>
    <w:bookmarkStart w:id="38" w:name="regression-model-predicting-salary"/>
    <w:p>
      <w:pPr>
        <w:pStyle w:val="Heading2"/>
      </w:pPr>
      <w:r>
        <w:t xml:space="preserve">Regression Model: Predicting Salary</w:t>
      </w:r>
    </w:p>
    <w:bookmarkStart w:id="33"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3"/>
    <w:bookmarkStart w:id="34"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4"/>
    <w:bookmarkStart w:id="35"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35"/>
    <w:bookmarkStart w:id="36"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6"/>
    <w:bookmarkStart w:id="37" w:name="interpretation"/>
    <w:p>
      <w:pPr>
        <w:pStyle w:val="Heading3"/>
      </w:pPr>
      <w:r>
        <w:t xml:space="preserve">Interpretation</w:t>
      </w:r>
    </w:p>
    <w:p>
      <w:pPr>
        <w:pStyle w:val="FirstParagraph"/>
      </w:pPr>
      <w:r>
        <w:t xml:space="preserve">Adding occupation category and experience improved R2 from 0.009 to 0.095 and reduced RMSE by roughly $1,400. The overall explanatory power remains modest, which is expected given that salary is also shaped by factors not present in this dataset such as company size, specific technical skills, and education level.</w:t>
      </w:r>
    </w:p>
    <w:bookmarkEnd w:id="37"/>
    <w:bookmarkEnd w:id="38"/>
    <w:bookmarkStart w:id="47" w:name="Xf91956ffdb848b1b2a4a04268d4ab2696581501"/>
    <w:p>
      <w:pPr>
        <w:pStyle w:val="Heading2"/>
      </w:pPr>
      <w:r>
        <w:t xml:space="preserve">Classification Model: Predicting AI vs Non-AI Roles</w:t>
      </w:r>
    </w:p>
    <w:bookmarkStart w:id="39"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9"/>
    <w:bookmarkStart w:id="40"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40"/>
    <w:bookmarkStart w:id="41"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1"/>
    <w:bookmarkStart w:id="45"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43" name="Picture"/>
            <a:graphic>
              <a:graphicData uri="http://schemas.openxmlformats.org/drawingml/2006/picture">
                <pic:pic>
                  <pic:nvPicPr>
                    <pic:cNvPr descr="outputs/confusion_matrix.png" id="44" name="Picture"/>
                    <pic:cNvPicPr>
                      <a:picLocks noChangeArrowheads="1" noChangeAspect="1"/>
                    </pic:cNvPicPr>
                  </pic:nvPicPr>
                  <pic:blipFill>
                    <a:blip r:embed="rId42"/>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5"/>
    <w:bookmarkStart w:id="46"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46"/>
    <w:bookmarkEnd w:id="47"/>
    <w:bookmarkStart w:id="52" w:name="kmeans-clustering-salary-tiers"/>
    <w:p>
      <w:pPr>
        <w:pStyle w:val="Heading2"/>
      </w:pPr>
      <w:r>
        <w:t xml:space="preserve">KMeans Clustering: Salary Tiers</w:t>
      </w:r>
    </w:p>
    <w:bookmarkStart w:id="48"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w:t>
      </w:r>
    </w:p>
    <w:bookmarkEnd w:id="48"/>
    <w:bookmarkStart w:id="49"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"SALARY_MID"</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p>
    <w:bookmarkEnd w:id="49"/>
    <w:bookmarkStart w:id="50"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 82527.93027166883|</w:t>
      </w:r>
      <w:r>
        <w:br/>
      </w:r>
      <w:r>
        <w:rPr>
          <w:rStyle w:val="VerbatimChar"/>
        </w:rPr>
        <w:t xml:space="preserve">|         0|         1| 82259.38657105606|</w:t>
      </w:r>
      <w:r>
        <w:br/>
      </w:r>
      <w:r>
        <w:rPr>
          <w:rStyle w:val="VerbatimChar"/>
        </w:rPr>
        <w:t xml:space="preserve">|         1|         0|114743.48156257602|</w:t>
      </w:r>
      <w:r>
        <w:br/>
      </w:r>
      <w:r>
        <w:rPr>
          <w:rStyle w:val="VerbatimChar"/>
        </w:rPr>
        <w:t xml:space="preserve">|         1|         1|114706.52900810979|</w:t>
      </w:r>
      <w:r>
        <w:br/>
      </w:r>
      <w:r>
        <w:rPr>
          <w:rStyle w:val="VerbatimChar"/>
        </w:rPr>
        <w:t xml:space="preserve">|         2|         0|177965.12350242163|</w:t>
      </w:r>
      <w:r>
        <w:br/>
      </w:r>
      <w:r>
        <w:rPr>
          <w:rStyle w:val="VerbatimChar"/>
        </w:rPr>
        <w:t xml:space="preserve">|         2|         1| 180190.9214202561|</w:t>
      </w:r>
      <w:r>
        <w:br/>
      </w:r>
      <w:r>
        <w:rPr>
          <w:rStyle w:val="VerbatimChar"/>
        </w:rPr>
        <w:t xml:space="preserve">|         3|         0| 47270.14509564509|</w:t>
      </w:r>
      <w:r>
        <w:br/>
      </w:r>
      <w:r>
        <w:rPr>
          <w:rStyle w:val="VerbatimChar"/>
        </w:rPr>
        <w:t xml:space="preserve">|         3|         1| 50669.67723880597|</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50"/>
    <w:bookmarkStart w:id="51" w:name="interpretation-2"/>
    <w:p>
      <w:pPr>
        <w:pStyle w:val="Heading3"/>
      </w:pPr>
      <w:r>
        <w:t xml:space="preserve">Interpretation</w:t>
      </w:r>
    </w:p>
    <w:p>
      <w:pPr>
        <w:pStyle w:val="FirstParagraph"/>
      </w:pPr>
      <w:r>
        <w:t xml:space="preserve">The clustering produced four well-separated salary tiers.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AI designation alone does not drive salary. Structural job characteristics and market positioning matter more.</w:t>
      </w:r>
    </w:p>
    <w:bookmarkEnd w:id="51"/>
    <w:bookmarkEnd w:id="52"/>
    <w:bookmarkStart w:id="53"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3"/>
    <w:bookmarkStart w:id="54"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54"/>
    <w:bookmarkStart w:id="55"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5"/>
    <w:bookmarkStart w:id="56"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6"/>
    <w:bookmarkStart w:id="57"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7"/>
    <w:bookmarkStart w:id="58"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8"/>
    <w:bookmarkStart w:id="59"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9"/>
    <w:bookmarkStart w:id="60"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0"/>
    <w:bookmarkStart w:id="61"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1"/>
    <w:bookmarkStart w:id="62"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2"/>
    <w:bookmarkStart w:id="63"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63"/>
    <w:bookmarkStart w:id="64" w:name="ai-transparency"/>
    <w:p>
      <w:pPr>
        <w:pStyle w:val="Heading2"/>
      </w:pPr>
      <w:r>
        <w:t xml:space="preserve">AI Transparency</w:t>
      </w:r>
    </w:p>
    <w:p>
      <w:pPr>
        <w:pStyle w:val="FirstParagraph"/>
      </w:pPr>
      <w:r>
        <w:t xml:space="preserve">This project used Claude (Sonnet 4.6, Anthropic) as an AI assistant throughout process. Specifically, Claude was used to assist with PySpark syntax and debugging, resolving data pipeline errors such as CSV column misalignment and salary column misidentification (the SALARY column was discovered to contain SOC occupation codes rather than numeric values, requiring a pivot to SALARY_FROM and SALARY_TO), casting errors when converting string fields to numeric types, structuring and formatting Quarto markdown pages, identifying grammatical errors and suggesting improvements to written analysis, and providing guidance on machine learning model evaluation and visualization.</w:t>
      </w:r>
    </w:p>
    <w:p>
      <w:pPr>
        <w:pStyle w:val="BodyText"/>
      </w:pPr>
      <w:r>
        <w:t xml:space="preserve">For concepts and workflows that were new, such as building ML pipelines with StringIndexer and VectorAssembler, and enabling code folding in Quarto, the professor’s lecture videos were the primary reference. Claude was used moreso when errors happened during implementation or when troubleshooting was needed, such as fixing the git history after large files were accidentally committed, resolving the kaleido and Chrome installation required for Plotly image export, and correcting citation key mismatches in the BibTeX file.</w:t>
      </w:r>
    </w:p>
    <w:p>
      <w:pPr>
        <w:pStyle w:val="BodyText"/>
      </w:pPr>
      <w:r>
        <w:t xml:space="preserve">All analytical decisions, including the choice of research question, feature selection, model interpretation, and conclusions drawn from the data, were made by Manjari Kannan.</w:t>
      </w:r>
    </w:p>
    <w:bookmarkEnd w:id="64"/>
    <w:bookmarkStart w:id="70" w:name="team-contributions"/>
    <w:p>
      <w:pPr>
        <w:pStyle w:val="Heading2"/>
      </w:pPr>
      <w:r>
        <w:t xml:space="preserve">Team Contributions</w:t>
      </w:r>
    </w:p>
    <w:p>
      <w:pPr>
        <w:pStyle w:val="Compact"/>
        <w:numPr>
          <w:ilvl w:val="0"/>
          <w:numId w:val="1005"/>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 Created baby blue coloring for website aesthetic and also designed and laid out final presentation formatting.</w:t>
      </w:r>
    </w:p>
    <w:p>
      <w:pPr>
        <w:pStyle w:val="Compact"/>
        <w:numPr>
          <w:ilvl w:val="0"/>
          <w:numId w:val="1005"/>
        </w:numPr>
      </w:pPr>
      <w:r>
        <w:rPr>
          <w:b/>
          <w:bCs/>
        </w:rPr>
        <w:t xml:space="preserve">Oscar Quintero</w:t>
      </w:r>
      <w:r>
        <w:t xml:space="preserve"> </w:t>
      </w:r>
      <w:r>
        <w:t xml:space="preserve">: sourced, researched, and formatted the academic references in BibTeX, helped in managing the website aesthetic and overall formatting</w:t>
      </w:r>
    </w:p>
    <w:p>
      <w:pPr>
        <w:pStyle w:val="Compact"/>
        <w:numPr>
          <w:ilvl w:val="0"/>
          <w:numId w:val="1005"/>
        </w:numPr>
      </w:pPr>
      <w:r>
        <w:rPr>
          <w:b/>
          <w:bCs/>
        </w:rPr>
        <w:t xml:space="preserve">Nicholas Decesaris</w:t>
      </w:r>
      <w:r>
        <w:t xml:space="preserve"> </w:t>
      </w:r>
      <w:r>
        <w:t xml:space="preserve">: created initial organization for the final presentation</w:t>
      </w:r>
    </w:p>
    <w:bookmarkStart w:id="69" w:name="refs"/>
    <w:bookmarkStart w:id="66" w:name="ref-doi:10.1177/23780231241259672"/>
    <w:p>
      <w:pPr>
        <w:pStyle w:val="Bibliography"/>
      </w:pPr>
      <w:r>
        <w:rPr>
          <w:smallCaps/>
        </w:rPr>
        <w:t xml:space="preserve">Dahlin, E.</w:t>
      </w:r>
      <w:r>
        <w:t xml:space="preserve"> (2024):</w:t>
      </w:r>
      <w:r>
        <w:t xml:space="preserve"> </w:t>
      </w:r>
      <w:r>
        <w:t xml:space="preserve">“</w:t>
      </w:r>
      <w:hyperlink r:id="rId65">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66"/>
    <w:bookmarkStart w:id="68" w:name="Xb42a6780c94b8d118173c0eeec658459df1c365"/>
    <w:p>
      <w:pPr>
        <w:pStyle w:val="Bibliography"/>
      </w:pPr>
      <w:r>
        <w:rPr>
          <w:smallCaps/>
        </w:rPr>
        <w:t xml:space="preserve">Dominski, J., and Y. S. Lee</w:t>
      </w:r>
      <w:r>
        <w:t xml:space="preserve">. (2025):</w:t>
      </w:r>
      <w:r>
        <w:t xml:space="preserve"> </w:t>
      </w:r>
      <w:r>
        <w:t xml:space="preserve">“</w:t>
      </w:r>
      <w:hyperlink r:id="rId67">
        <w:r>
          <w:rPr>
            <w:rStyle w:val="Hyperlink"/>
          </w:rPr>
          <w:t xml:space="preserve">Advancing AI Capabilities and Evolving Labor Outcomes</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hyperlink" Id="rId67" Target="https://arxiv.org/abs/2507.08244" TargetMode="External" /><Relationship Type="http://schemas.openxmlformats.org/officeDocument/2006/relationships/hyperlink" Id="rId65"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67" Target="https://arxiv.org/abs/2507.08244" TargetMode="External" /><Relationship Type="http://schemas.openxmlformats.org/officeDocument/2006/relationships/hyperlink" Id="rId65"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2026-04-21T00:32:45Z</dcterms:created>
  <dcterms:modified xsi:type="dcterms:W3CDTF">2026-04-21T00:32:45Z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Final Report</vt:lpwstr>
  </property>
  <property fmtid="{D5CDD505-2E9C-101B-9397-08002B2CF9AE}" pid="18" name="toc-title">
    <vt:lpwstr>Table of contents</vt:lpwstr>
  </property>
</Properties>
</file>