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9.png" ContentType="image/png"/>
  <Override PartName="/word/media/rId25.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 Nicholas Decesaris, Oscar Quintero</w:t>
      </w:r>
    </w:p>
    <w:p>
      <w:pPr>
        <w:pStyle w:val="Date"/>
      </w:pPr>
      <w:r>
        <w:t xml:space="preserve">today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7"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Start w:id="13"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3"/>
    <w:bookmarkStart w:id="14"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4"/>
    <w:bookmarkStart w:id="15"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5"/>
    <w:bookmarkStart w:id="16" w:name="example-python-cleaning-code"/>
    <w:p>
      <w:pPr>
        <w:pStyle w:val="Heading2"/>
      </w:pPr>
      <w:r>
        <w:t xml:space="preserve">Example Python Cleaning Code</w:t>
      </w:r>
    </w:p>
    <w:p>
      <w:pPr>
        <w:pStyle w:val="SourceCode"/>
      </w:pPr>
      <w:r>
        <w:br/>
      </w: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6"/>
    <w:bookmarkStart w:id="17"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7"/>
    <w:bookmarkStart w:id="18" w:name="example-missing-value-handling"/>
    <w:p>
      <w:pPr>
        <w:pStyle w:val="Heading2"/>
      </w:pPr>
      <w:r>
        <w:t xml:space="preserve">Example Missing Value Handling</w:t>
      </w:r>
    </w:p>
    <w:p>
      <w:pPr>
        <w:pStyle w:val="SourceCode"/>
      </w:pPr>
      <w:r>
        <w:br/>
      </w: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18"/>
    <w:bookmarkStart w:id="19"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19"/>
    <w:bookmarkStart w:id="20"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0"/>
    <w:bookmarkStart w:id="21"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1"/>
        </w:numPr>
      </w:pPr>
      <w:r>
        <w:t xml:space="preserve">more accurate summaries and charts</w:t>
      </w:r>
    </w:p>
    <w:p>
      <w:pPr>
        <w:pStyle w:val="Compact"/>
        <w:numPr>
          <w:ilvl w:val="0"/>
          <w:numId w:val="1001"/>
        </w:numPr>
      </w:pPr>
      <w:r>
        <w:t xml:space="preserve">better model performance</w:t>
      </w:r>
    </w:p>
    <w:p>
      <w:pPr>
        <w:pStyle w:val="Compact"/>
        <w:numPr>
          <w:ilvl w:val="0"/>
          <w:numId w:val="1001"/>
        </w:numPr>
      </w:pPr>
      <w:r>
        <w:t xml:space="preserve">clearer interpretation for job seekers</w:t>
      </w:r>
    </w:p>
    <w:p>
      <w:pPr>
        <w:pStyle w:val="Compact"/>
        <w:numPr>
          <w:ilvl w:val="0"/>
          <w:numId w:val="1001"/>
        </w:numPr>
      </w:pPr>
      <w:r>
        <w:t xml:space="preserve">more trustworthy career recommendations</w:t>
      </w:r>
    </w:p>
    <w:bookmarkEnd w:id="21"/>
    <w:bookmarkStart w:id="22"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2"/>
        </w:numPr>
      </w:pPr>
      <w:r>
        <w:t xml:space="preserve">exploratory analysis of salary, industry, and remote work patterns</w:t>
      </w:r>
    </w:p>
    <w:p>
      <w:pPr>
        <w:pStyle w:val="Compact"/>
        <w:numPr>
          <w:ilvl w:val="0"/>
          <w:numId w:val="1002"/>
        </w:numPr>
      </w:pPr>
      <w:r>
        <w:t xml:space="preserve">clustering by occupation or industry categories</w:t>
      </w:r>
    </w:p>
    <w:p>
      <w:pPr>
        <w:pStyle w:val="Compact"/>
        <w:numPr>
          <w:ilvl w:val="0"/>
          <w:numId w:val="1002"/>
        </w:numPr>
      </w:pPr>
      <w:r>
        <w:t xml:space="preserve">regression models predicting salary</w:t>
      </w:r>
    </w:p>
    <w:p>
      <w:pPr>
        <w:pStyle w:val="Compact"/>
        <w:numPr>
          <w:ilvl w:val="0"/>
          <w:numId w:val="1002"/>
        </w:numPr>
      </w:pPr>
      <w:r>
        <w:t xml:space="preserve">classification models predicting job categories or remote work type</w:t>
      </w:r>
    </w:p>
    <w:bookmarkEnd w:id="22"/>
    <w:bookmarkStart w:id="23"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3"/>
    <w:bookmarkStart w:id="24"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BodyText"/>
      </w:pPr>
      <w:r>
        <w:t xml:space="preserve">This produced 31,857 AI-related postings (approximately 45% of the dataset) and 39,035 non-AI postings (approximately 55%). The near-even split suggests that AI-related roles have moved well beyond a niche segment of the labor market.</w:t>
      </w:r>
    </w:p>
    <w:bookmarkEnd w:id="24"/>
    <w:bookmarkStart w:id="28" w:name="salary-distribution-ai-vs-non-ai"/>
    <w:p>
      <w:pPr>
        <w:pStyle w:val="Heading2"/>
      </w:pPr>
      <w:r>
        <w:t xml:space="preserve">Salary Distribution: AI vs Non-AI</w:t>
      </w:r>
    </w:p>
    <w:p>
      <w:pPr>
        <w:pStyle w:val="CaptionedFigure"/>
      </w:pPr>
      <w:r>
        <w:drawing>
          <wp:inline>
            <wp:extent cx="5334000" cy="3200400"/>
            <wp:effectExtent b="0" l="0" r="0" t="0"/>
            <wp:docPr descr="Salary Distribution" title="" id="26" name="Picture"/>
            <a:graphic>
              <a:graphicData uri="http://schemas.openxmlformats.org/drawingml/2006/picture">
                <pic:pic>
                  <pic:nvPicPr>
                    <pic:cNvPr descr="outputs/salary_distribution_plotly.png" id="27" name="Picture"/>
                    <pic:cNvPicPr>
                      <a:picLocks noChangeArrowheads="1" noChangeAspect="1"/>
                    </pic:cNvPicPr>
                  </pic:nvPicPr>
                  <pic:blipFill>
                    <a:blip r:embed="rId2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Salary Distribution</w:t>
      </w:r>
    </w:p>
    <w:p>
      <w:pPr>
        <w:pStyle w:val="BodyText"/>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8"/>
    <w:bookmarkStart w:id="32" w:name="average-salary-by-industry-ai-vs-non-ai"/>
    <w:p>
      <w:pPr>
        <w:pStyle w:val="Heading2"/>
      </w:pPr>
      <w:r>
        <w:t xml:space="preserve">Average Salary by Industry: AI vs Non-AI</w:t>
      </w:r>
    </w:p>
    <w:p>
      <w:pPr>
        <w:pStyle w:val="CaptionedFigure"/>
      </w:pPr>
      <w:r>
        <w:drawing>
          <wp:inline>
            <wp:extent cx="5334000" cy="3733800"/>
            <wp:effectExtent b="0" l="0" r="0" t="0"/>
            <wp:docPr descr="Salary by Industry" title="" id="30" name="Picture"/>
            <a:graphic>
              <a:graphicData uri="http://schemas.openxmlformats.org/drawingml/2006/picture">
                <pic:pic>
                  <pic:nvPicPr>
                    <pic:cNvPr descr="outputs/salary_by_industry_plotly.png" id="31" name="Picture"/>
                    <pic:cNvPicPr>
                      <a:picLocks noChangeArrowheads="1" noChangeAspect="1"/>
                    </pic:cNvPicPr>
                  </pic:nvPicPr>
                  <pic:blipFill>
                    <a:blip r:embed="rId29"/>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Salary by Industry</w:t>
      </w:r>
    </w:p>
    <w:p>
      <w:pPr>
        <w:pStyle w:val="BodyText"/>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This is likely because traditional IT and enterprise infrastructure roles in that sector already command high salaries, making AI titles less financially distinctive by comparison.</w:t>
      </w:r>
    </w:p>
    <w:bookmarkEnd w:id="32"/>
    <w:bookmarkStart w:id="36" w:name="top-industries-by-ai-job-posting-count"/>
    <w:p>
      <w:pPr>
        <w:pStyle w:val="Heading2"/>
      </w:pPr>
      <w:r>
        <w:t xml:space="preserve">Top Industries by AI Job Posting Count</w:t>
      </w:r>
    </w:p>
    <w:p>
      <w:pPr>
        <w:pStyle w:val="CaptionedFigure"/>
      </w:pPr>
      <w:r>
        <w:drawing>
          <wp:inline>
            <wp:extent cx="5334000" cy="3200400"/>
            <wp:effectExtent b="0" l="0" r="0" t="0"/>
            <wp:docPr descr="Top Industries" title="" id="34" name="Picture"/>
            <a:graphic>
              <a:graphicData uri="http://schemas.openxmlformats.org/drawingml/2006/picture">
                <pic:pic>
                  <pic:nvPicPr>
                    <pic:cNvPr descr="outputs/top_industries_plotly.png" id="35" name="Picture"/>
                    <pic:cNvPicPr>
                      <a:picLocks noChangeArrowheads="1" noChangeAspect="1"/>
                    </pic:cNvPicPr>
                  </pic:nvPicPr>
                  <pic:blipFill>
                    <a:blip r:embed="rId33"/>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Top Industries</w:t>
      </w:r>
    </w:p>
    <w:p>
      <w:pPr>
        <w:pStyle w:val="BodyText"/>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36"/>
    <w:bookmarkStart w:id="37"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negligible at roughly $100 on average. The salary premium associated with AI skills is industry-specific rather than universal. Fields where AI capabilities are still emerging tend to reward those skills more generously. And the concentration of AI hiring in professional services, finance, and information suggests that the benefits of AI are not evenly distributed across the workforce. Where a worker is employed matters as much as what skills they bring.</w:t>
      </w:r>
    </w:p>
    <w:bookmarkEnd w:id="37"/>
    <w:bookmarkStart w:id="38"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 Together these models help quantify how job characteristics relate to compensation and AI demand.</w:t>
      </w:r>
    </w:p>
    <w:bookmarkEnd w:id="38"/>
    <w:bookmarkStart w:id="43" w:name="regression-model-predicting-salary"/>
    <w:p>
      <w:pPr>
        <w:pStyle w:val="Heading2"/>
      </w:pPr>
      <w:r>
        <w:t xml:space="preserve">Regression Model: Predicting Salary</w:t>
      </w:r>
    </w:p>
    <w:bookmarkStart w:id="39"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9"/>
    <w:bookmarkStart w:id="40"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40"/>
    <w:bookmarkStart w:id="41"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41"/>
    <w:bookmarkStart w:id="42" w:name="interpretation"/>
    <w:p>
      <w:pPr>
        <w:pStyle w:val="Heading3"/>
      </w:pPr>
      <w:r>
        <w:t xml:space="preserve">Interpretation</w:t>
      </w:r>
    </w:p>
    <w:p>
      <w:pPr>
        <w:pStyle w:val="FirstParagraph"/>
      </w:pPr>
      <w:r>
        <w:t xml:space="preserve">Adding occupation category and experience improved R2 from 0.009 to 0.095 and reduced RMSE by roughly $1,400. However, the overall explanatory power remains modest. This is expected given that salary is also shaped by factors not present in this dataset, such as company size, specific technical skills, education level, and negotiation. The low R2 is itself a finding worth noting: structured job characteristics explain only a small portion of salary variance, which suggests that individual and firm level factors play a larger role in determining compensation.</w:t>
      </w:r>
    </w:p>
    <w:bookmarkEnd w:id="42"/>
    <w:bookmarkEnd w:id="43"/>
    <w:bookmarkStart w:id="51" w:name="Xf91956ffdb848b1b2a4a04268d4ab2696581501"/>
    <w:p>
      <w:pPr>
        <w:pStyle w:val="Heading2"/>
      </w:pPr>
      <w:r>
        <w:t xml:space="preserve">Classification Model: Predicting AI vs Non-AI Roles</w:t>
      </w:r>
    </w:p>
    <w:bookmarkStart w:id="44"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44"/>
    <w:bookmarkStart w:id="45"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5"/>
    <w:bookmarkStart w:id="49" w:name="confusion-matrix"/>
    <w:p>
      <w:pPr>
        <w:pStyle w:val="Heading3"/>
      </w:pPr>
      <w:r>
        <w:t xml:space="preserve">Confusion Matrix</w:t>
      </w:r>
    </w:p>
    <w:p>
      <w:pPr>
        <w:pStyle w:val="CaptionedFigure"/>
      </w:pPr>
      <w:r>
        <w:drawing>
          <wp:inline>
            <wp:extent cx="5334000" cy="4445000"/>
            <wp:effectExtent b="0" l="0" r="0" t="0"/>
            <wp:docPr descr="Confusion Matrix" title="" id="47" name="Picture"/>
            <a:graphic>
              <a:graphicData uri="http://schemas.openxmlformats.org/drawingml/2006/picture">
                <pic:pic>
                  <pic:nvPicPr>
                    <pic:cNvPr descr="outputs/confusion_matrix.png" id="48" name="Picture"/>
                    <pic:cNvPicPr>
                      <a:picLocks noChangeArrowheads="1" noChangeAspect="1"/>
                    </pic:cNvPicPr>
                  </pic:nvPicPr>
                  <pic:blipFill>
                    <a:blip r:embed="rId46"/>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9"/>
    <w:bookmarkStart w:id="50" w:name="interpretation-1"/>
    <w:p>
      <w:pPr>
        <w:pStyle w:val="Heading3"/>
      </w:pPr>
      <w:r>
        <w:t xml:space="preserve">Interpretation</w:t>
      </w:r>
    </w:p>
    <w:p>
      <w:pPr>
        <w:pStyle w:val="FirstParagraph"/>
      </w:pPr>
      <w:r>
        <w:t xml:space="preserve">The model performs only slightly better than random guessing. This finding is informative rather than disappointing. It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50"/>
    <w:bookmarkEnd w:id="51"/>
    <w:bookmarkStart w:id="55" w:name="kmeans-clustering-salary-tiers"/>
    <w:p>
      <w:pPr>
        <w:pStyle w:val="Heading2"/>
      </w:pPr>
      <w:r>
        <w:t xml:space="preserve">KMeans Clustering: Salary Tiers</w:t>
      </w:r>
    </w:p>
    <w:bookmarkStart w:id="52"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 Four clusters were specified based on the expectation that the market would segment into entry, mid, upper mid, and senior tiers.</w:t>
      </w:r>
    </w:p>
    <w:bookmarkEnd w:id="52"/>
    <w:bookmarkStart w:id="53" w:name="results-2"/>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53"/>
    <w:bookmarkStart w:id="54" w:name="interpretation-2"/>
    <w:p>
      <w:pPr>
        <w:pStyle w:val="Heading3"/>
      </w:pPr>
      <w:r>
        <w:t xml:space="preserve">Interpretation</w:t>
      </w:r>
    </w:p>
    <w:p>
      <w:pPr>
        <w:pStyle w:val="FirstParagraph"/>
      </w:pPr>
      <w:r>
        <w:t xml:space="preserve">The clustering produced four well-separated salary tiers that are intuitive and interpretable.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and forms the central conclusion of this analysis: AI designation alone does not drive salary. Structural job characteristics and market positioning matter more.</w:t>
      </w:r>
    </w:p>
    <w:bookmarkEnd w:id="54"/>
    <w:bookmarkEnd w:id="55"/>
    <w:bookmarkStart w:id="56"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56"/>
    <w:bookmarkStart w:id="57"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57"/>
    <w:bookmarkStart w:id="58"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58"/>
    <w:bookmarkStart w:id="59"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9"/>
    <w:bookmarkStart w:id="60"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60"/>
    <w:bookmarkStart w:id="61"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61"/>
    <w:bookmarkStart w:id="62"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62"/>
    <w:bookmarkStart w:id="63"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63"/>
    <w:bookmarkStart w:id="64"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64"/>
    <w:bookmarkStart w:id="65"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65"/>
    <w:bookmarkStart w:id="66"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2026-04-18T01:41:17Z</dcterms:created>
  <dcterms:modified xsi:type="dcterms:W3CDTF">2026-04-18T01:41:17Z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today</vt:lpwstr>
  </property>
  <property fmtid="{D5CDD505-2E9C-101B-9397-08002B2CF9AE}" pid="8" name="date-format">
    <vt:lpwstr>long</vt:lpwstr>
  </property>
  <property fmtid="{D5CDD505-2E9C-101B-9397-08002B2CF9AE}" pid="9" name="date-modified">
    <vt:lpwstr>April 13, 2026</vt:lpwstr>
  </property>
  <property fmtid="{D5CDD505-2E9C-101B-9397-08002B2CF9AE}" pid="10" name="engines">
    <vt:lpwstr/>
  </property>
  <property fmtid="{D5CDD505-2E9C-101B-9397-08002B2CF9AE}" pid="11" name="format">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Final Report</vt:lpwstr>
  </property>
  <property fmtid="{D5CDD505-2E9C-101B-9397-08002B2CF9AE}" pid="17" name="toc-title">
    <vt:lpwstr>Table of contents</vt:lpwstr>
  </property>
</Properties>
</file>