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Personal Career Path Decisions in 2024</w:t>
      </w:r>
    </w:p>
    <w:p>
      <w:pPr>
        <w:pStyle w:val="Author"/>
      </w:pPr>
      <w:r>
        <w:t xml:space="preserve">Manjari Kannan, Nicholas Decesaris, Oscar Quintero</w:t>
      </w:r>
    </w:p>
    <w:p>
      <w:pPr>
        <w:pStyle w:val="Date"/>
      </w:pPr>
      <w:r>
        <w:t xml:space="preserve">2026-04-18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oject-overview"/>
    <w:p>
      <w:pPr>
        <w:pStyle w:val="Heading1"/>
      </w:pPr>
      <w:r>
        <w:t xml:space="preserve">Project Overview</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p>
    <w:bookmarkEnd w:id="11"/>
    <w:bookmarkStart w:id="12"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 Career Path Decisions in 2024</dc:title>
  <dc:creator>Manjari Kannan, Nicholas Decesaris, Oscar Quintero</dc:creator>
  <cp:keywords/>
  <dcterms:created xsi:type="dcterms:W3CDTF">2026-04-18T01:41:14Z</dcterms:created>
  <dcterms:modified xsi:type="dcterms:W3CDTF">2026-04-18T01:41:14Z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2026-04-18</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