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40"/>
          <w:szCs w:val="40"/>
        </w:rPr>
        <w:t xml:space="preserve">My Music (Sangeet)</w:t>
      </w:r>
    </w:p>
    <w:p>
      <w:pPr>
        <w:spacing w:after="300"/>
      </w:pPr>
      <w:r>
        <w:rPr>
          <w:b/>
          <w:bCs/>
          <w:color w:val="555555"/>
          <w:sz w:val="28"/>
          <w:szCs w:val="28"/>
        </w:rPr>
        <w:t xml:space="preserve">Explanation &amp; Feasibility Plan</w:t>
      </w:r>
    </w:p>
    <w:p>
      <w:pPr>
        <w:spacing w:after="120"/>
      </w:pPr>
      <w:r>
        <w:t xml:space="preserve">This document explains the proposed music streaming platform design and assesses its feasibility across technical, operational, financial, and scheduling dimensions, followed by a phased implementation roadmap.</w:t>
      </w:r>
    </w:p>
    <w:p>
      <w:pPr>
        <w:pStyle w:val="Heading1"/>
        <w:spacing w:after="150" w:before="300"/>
      </w:pPr>
      <w:r>
        <w:t xml:space="preserve">Part A — Explanation of the Design</w:t>
      </w:r>
    </w:p>
    <w:p>
      <w:pPr>
        <w:pStyle w:val="Heading2"/>
        <w:spacing w:after="120" w:before="240"/>
      </w:pPr>
      <w:r>
        <w:t xml:space="preserve">1. What is being built</w:t>
      </w:r>
    </w:p>
    <w:p>
      <w:pPr>
        <w:spacing w:after="120"/>
      </w:pPr>
      <w:r>
        <w:t xml:space="preserve">My Music (Sangeet) is a web-based music streaming platform that lets users register, upload their own MP3 files with cover art, organize tracks into playlists, and stream audio back through the browser. The initial target is a small user base of about 10 users, but the architecture is intended to scale toward thousands or millions of users over time.</w:t>
      </w:r>
    </w:p>
    <w:p>
      <w:pPr>
        <w:pStyle w:val="Heading2"/>
        <w:spacing w:after="120" w:before="240"/>
      </w:pPr>
      <w:r>
        <w:t xml:space="preserve">2. Why this architecture makes sense</w:t>
      </w:r>
    </w:p>
    <w:p>
      <w:pPr>
        <w:spacing w:after="120"/>
      </w:pPr>
      <w:r>
        <w:t xml:space="preserve">The design separates concerns cleanly across four layers:</w:t>
      </w:r>
    </w:p>
    <w:p>
      <w:pPr>
        <w:pStyle w:val="ListParagraph"/>
        <w:numPr>
          <w:ilvl w:val="0"/>
          <w:numId w:val="2"/>
        </w:numPr>
        <w:spacing w:after="60"/>
      </w:pPr>
      <w:r>
        <w:t xml:space="preserve">Frontend (React + TypeScript): handles UI, playback controls, and calls the backend over HTTPS REST.</w:t>
      </w:r>
    </w:p>
    <w:p>
      <w:pPr>
        <w:pStyle w:val="ListParagraph"/>
        <w:numPr>
          <w:ilvl w:val="0"/>
          <w:numId w:val="2"/>
        </w:numPr>
        <w:spacing w:after="60"/>
      </w:pPr>
      <w:r>
        <w:t xml:space="preserve">Backend (ASP.NET 8 Web API, C#): owns business logic, authentication, and validation.</w:t>
      </w:r>
    </w:p>
    <w:p>
      <w:pPr>
        <w:pStyle w:val="ListParagraph"/>
        <w:numPr>
          <w:ilvl w:val="0"/>
          <w:numId w:val="2"/>
        </w:numPr>
        <w:spacing w:after="60"/>
      </w:pPr>
      <w:r>
        <w:t xml:space="preserve">Database (PostgreSQL via Supabase): stores structured data — users, songs, playlists.</w:t>
      </w:r>
    </w:p>
    <w:p>
      <w:pPr>
        <w:pStyle w:val="ListParagraph"/>
        <w:numPr>
          <w:ilvl w:val="0"/>
          <w:numId w:val="2"/>
        </w:numPr>
        <w:spacing w:after="60"/>
      </w:pPr>
      <w:r>
        <w:t xml:space="preserve">Object storage (Supabase Storage): stores the large binary assets — MP3 files, album covers, artist images — instead of the database, which is the correct pattern for media-heavy apps.</w:t>
      </w:r>
    </w:p>
    <w:p>
      <w:pPr>
        <w:spacing w:after="120"/>
      </w:pPr>
      <w:r>
        <w:t xml:space="preserve">This is a conventional, well-understood three-tier design. Using a managed Postgres + storage provider (Supabase) instead of self-hosting removes a large amount of early operational burden (backups, provisioning, TLS, storage buckets) which is appropriate for a project starting at 10 users.</w:t>
      </w:r>
    </w:p>
    <w:p>
      <w:pPr>
        <w:pStyle w:val="Heading2"/>
        <w:spacing w:after="120" w:before="240"/>
      </w:pPr>
      <w:r>
        <w:t xml:space="preserve">3. Core functional scope</w:t>
      </w:r>
    </w:p>
    <w:p>
      <w:pPr>
        <w:pStyle w:val="ListParagraph"/>
        <w:numPr>
          <w:ilvl w:val="0"/>
          <w:numId w:val="2"/>
        </w:numPr>
        <w:spacing w:after="60"/>
      </w:pPr>
      <w:r>
        <w:t xml:space="preserve">User management: registration, login, JWT auth, profile updates, password changes.</w:t>
      </w:r>
    </w:p>
    <w:p>
      <w:pPr>
        <w:pStyle w:val="ListParagraph"/>
        <w:numPr>
          <w:ilvl w:val="0"/>
          <w:numId w:val="2"/>
        </w:numPr>
        <w:spacing w:after="60"/>
      </w:pPr>
      <w:r>
        <w:t xml:space="preserve">Song management: upload, edit, delete, and view song metadata and cover art.</w:t>
      </w:r>
    </w:p>
    <w:p>
      <w:pPr>
        <w:pStyle w:val="ListParagraph"/>
        <w:numPr>
          <w:ilvl w:val="0"/>
          <w:numId w:val="2"/>
        </w:numPr>
        <w:spacing w:after="60"/>
      </w:pPr>
      <w:r>
        <w:t xml:space="preserve">Playlists: create, rename, delete, add/remove songs.</w:t>
      </w:r>
    </w:p>
    <w:p>
      <w:pPr>
        <w:pStyle w:val="ListParagraph"/>
        <w:numPr>
          <w:ilvl w:val="0"/>
          <w:numId w:val="2"/>
        </w:numPr>
        <w:spacing w:after="60"/>
      </w:pPr>
      <w:r>
        <w:t xml:space="preserve">Playback: play, pause, resume, skip, shuffle, repeat.</w:t>
      </w:r>
    </w:p>
    <w:p>
      <w:pPr>
        <w:pStyle w:val="ListParagraph"/>
        <w:numPr>
          <w:ilvl w:val="0"/>
          <w:numId w:val="2"/>
        </w:numPr>
        <w:spacing w:after="60"/>
      </w:pPr>
      <w:r>
        <w:t xml:space="preserve">Search: by song, artist, album, genre.</w:t>
      </w:r>
    </w:p>
    <w:p>
      <w:pPr>
        <w:pStyle w:val="Heading2"/>
        <w:spacing w:after="120" w:before="240"/>
      </w:pPr>
      <w:r>
        <w:t xml:space="preserve">4. Data model</w:t>
      </w:r>
    </w:p>
    <w:p>
      <w:pPr>
        <w:spacing w:after="120"/>
      </w:pPr>
      <w:r>
        <w:t xml:space="preserve">The schema (Users, Songs, Playlists, PlaylistSongs, plus future ListeningHistory and Favorites tables) is a standard normalized relational design. PlaylistSongs as a join table correctly models the many-to-many relationship between playlists and songs. UUID primary keys are a sensible choice for a system expected to eventually run across multiple API instances.</w:t>
      </w:r>
    </w:p>
    <w:p>
      <w:pPr>
        <w:pStyle w:val="Heading2"/>
        <w:spacing w:after="120" w:before="240"/>
      </w:pPr>
      <w:r>
        <w:t xml:space="preserve">5. Key workflows</w:t>
      </w:r>
    </w:p>
    <w:p>
      <w:pPr>
        <w:spacing w:after="120"/>
      </w:pPr>
      <w:r>
        <w:rPr>
          <w:b/>
          <w:bCs/>
        </w:rPr>
        <w:t xml:space="preserve">Upload: </w:t>
      </w:r>
      <w:r>
        <w:t xml:space="preserve">client sends multipart/form-data → API validates the file → file is pushed to Supabase Storage → the returned public URL and metadata are saved to Postgres → success response returned.</w:t>
      </w:r>
    </w:p>
    <w:p>
      <w:pPr>
        <w:spacing w:after="120"/>
      </w:pPr>
      <w:r>
        <w:rPr>
          <w:b/>
          <w:bCs/>
        </w:rPr>
        <w:t xml:space="preserve">Streaming: </w:t>
      </w:r>
      <w:r>
        <w:t xml:space="preserve">client requests song metadata → API returns the audio URL → the HTML5 Audio element streams directly from Supabase Storage, bypassing the API for the actual audio bytes, which reduces backend load.</w:t>
      </w:r>
    </w:p>
    <w:p>
      <w:pPr>
        <w:spacing w:after="120"/>
      </w:pPr>
      <w:r>
        <w:rPr>
          <w:b/>
          <w:bCs/>
        </w:rPr>
        <w:t xml:space="preserve">Authentication: </w:t>
      </w:r>
      <w:r>
        <w:t xml:space="preserve">passwords are BCrypt-hashed at registration; login issues a JWT that the client attaches to the Authorization header on subsequent protected requests.</w:t>
      </w:r>
    </w:p>
    <w:p>
      <w:pPr>
        <w:pStyle w:val="Heading2"/>
        <w:spacing w:after="120" w:before="240"/>
      </w:pPr>
      <w:r>
        <w:t xml:space="preserve">6. Notable gaps to be aware of</w:t>
      </w:r>
    </w:p>
    <w:p>
      <w:pPr>
        <w:spacing w:after="120"/>
      </w:pPr>
      <w:r>
        <w:t xml:space="preserve">The document itself flags refresh tokens as a future enhancement, meaning initially users will need to re-authenticate once the access token expires — acceptable for a 10-user pilot but worth revisiting before wider release. There is also no rate limiting, CDN, or malware/content scanning on uploads specified yet; these become more important once uploads are open to more than a trusted handful of users.</w:t>
      </w:r>
    </w:p>
    <w:p>
      <w:pPr>
        <w:pStyle w:val="Heading1"/>
        <w:spacing w:after="150" w:before="300"/>
      </w:pPr>
      <w:r>
        <w:t xml:space="preserve">Part B — Feasibility Plan</w:t>
      </w:r>
    </w:p>
    <w:p>
      <w:pPr>
        <w:pStyle w:val="Heading2"/>
        <w:spacing w:after="120" w:before="240"/>
      </w:pPr>
      <w:r>
        <w:t xml:space="preserve">1. Technical feasibility — High</w:t>
      </w:r>
    </w:p>
    <w:p>
      <w:pPr>
        <w:spacing w:after="120"/>
      </w:pPr>
      <w:r>
        <w:t xml:space="preserve">Every component in the stack (React, ASP.NET 8, PostgreSQL, Supabase Storage, JWT/BCrypt) is mature, widely documented, and commonly used together. There is no unproven technology here. A single developer or small team with reasonable full-stack experience can realistically build the Phase 1 (10-user) scope described in the document.</w:t>
      </w:r>
    </w:p>
    <w:p>
      <w:pPr>
        <w:pStyle w:val="Heading2"/>
        <w:spacing w:after="120" w:before="240"/>
      </w:pPr>
      <w:r>
        <w:t xml:space="preserve">2. Operational feasibility — High for Phase 1, Medium beyond</w:t>
      </w:r>
    </w:p>
    <w:p>
      <w:pPr>
        <w:spacing w:after="120"/>
      </w:pPr>
      <w:r>
        <w:t xml:space="preserve">Supabase and Vercel/Render remove most infrastructure management at small scale, so Phase 1 is operationally light. As usage grows, the plan's own Phase 2/3 roadmap (caching, load balancing, CDN, queues, monitoring) correctly anticipates the added operational load — but that later work requires either a dedicated DevOps effort or a managed-platform equivalent, and should be budgeted for, not assumed to happen automatically.</w:t>
      </w:r>
    </w:p>
    <w:p>
      <w:pPr>
        <w:pStyle w:val="Heading2"/>
        <w:spacing w:after="120" w:before="240"/>
      </w:pPr>
      <w:r>
        <w:t xml:space="preserve">3. Financial feasibility</w:t>
      </w:r>
    </w:p>
    <w:tbl>
      <w:tblPr>
        <w:tblW w:type="dxa" w:w="112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4880"/>
      </w:tblGrid>
      <w:tr>
        <w:tc>
          <w:tcPr>
            <w:tcW w:type="dxa" w:w="1600"/>
            <w:shd w:fill="2F5496" w:val="clear"/>
          </w:tcPr>
          <w:p>
            <w:r>
              <w:rPr>
                <w:b/>
                <w:bCs/>
                <w:color w:val="FFFFFF"/>
              </w:rPr>
              <w:t xml:space="preserve">Phase</w:t>
            </w:r>
          </w:p>
        </w:tc>
        <w:tc>
          <w:tcPr>
            <w:tcW w:type="dxa" w:w="1600"/>
            <w:shd w:fill="2F5496" w:val="clear"/>
          </w:tcPr>
          <w:p>
            <w:r>
              <w:rPr>
                <w:b/>
                <w:bCs/>
                <w:color w:val="FFFFFF"/>
              </w:rPr>
              <w:t xml:space="preserve">Approx. Users</w:t>
            </w:r>
          </w:p>
        </w:tc>
        <w:tc>
          <w:tcPr>
            <w:tcW w:type="dxa" w:w="3200"/>
            <w:shd w:fill="2F5496" w:val="clear"/>
          </w:tcPr>
          <w:p>
            <w:r>
              <w:rPr>
                <w:b/>
                <w:bCs/>
                <w:color w:val="FFFFFF"/>
              </w:rPr>
              <w:t xml:space="preserve">Monthly Infra Cost (indicative)</w:t>
            </w:r>
          </w:p>
        </w:tc>
        <w:tc>
          <w:tcPr>
            <w:tcW w:type="dxa" w:w="4880"/>
            <w:shd w:fill="2F5496" w:val="clear"/>
          </w:tcPr>
          <w:p>
            <w:r>
              <w:rPr>
                <w:b/>
                <w:bCs/>
                <w:color w:val="FFFFFF"/>
              </w:rPr>
              <w:t xml:space="preserve">Notes</w:t>
            </w:r>
          </w:p>
        </w:tc>
      </w:tr>
      <w:tr>
        <w:tc>
          <w:tcPr>
            <w:tcW w:type="dxa" w:w="1600"/>
          </w:tcPr>
          <w:p>
            <w:r>
              <w:t xml:space="preserve">Phase 1</w:t>
            </w:r>
          </w:p>
        </w:tc>
        <w:tc>
          <w:tcPr>
            <w:tcW w:type="dxa" w:w="1600"/>
          </w:tcPr>
          <w:p>
            <w:r>
              <w:t xml:space="preserve">~10</w:t>
            </w:r>
          </w:p>
        </w:tc>
        <w:tc>
          <w:tcPr>
            <w:tcW w:type="dxa" w:w="3200"/>
          </w:tcPr>
          <w:p>
            <w:r>
              <w:t xml:space="preserve">$0–25</w:t>
            </w:r>
          </w:p>
        </w:tc>
        <w:tc>
          <w:tcPr>
            <w:tcW w:type="dxa" w:w="4880"/>
          </w:tcPr>
          <w:p>
            <w:r>
              <w:t xml:space="preserve">Supabase free/starter tier, Vercel/Render free tiers likely sufficient.</w:t>
            </w:r>
          </w:p>
        </w:tc>
      </w:tr>
      <w:tr>
        <w:tc>
          <w:tcPr>
            <w:tcW w:type="dxa" w:w="1600"/>
          </w:tcPr>
          <w:p>
            <w:r>
              <w:t xml:space="preserve">Phase 2</w:t>
            </w:r>
          </w:p>
        </w:tc>
        <w:tc>
          <w:tcPr>
            <w:tcW w:type="dxa" w:w="1600"/>
          </w:tcPr>
          <w:p>
            <w:r>
              <w:t xml:space="preserve">~1,000</w:t>
            </w:r>
          </w:p>
        </w:tc>
        <w:tc>
          <w:tcPr>
            <w:tcW w:type="dxa" w:w="3200"/>
          </w:tcPr>
          <w:p>
            <w:r>
              <w:t xml:space="preserve">$50–300</w:t>
            </w:r>
          </w:p>
        </w:tc>
        <w:tc>
          <w:tcPr>
            <w:tcW w:type="dxa" w:w="4880"/>
          </w:tcPr>
          <w:p>
            <w:r>
              <w:t xml:space="preserve">Paid Supabase tier, Redis add-on, more backend compute.</w:t>
            </w:r>
          </w:p>
        </w:tc>
      </w:tr>
      <w:tr>
        <w:tc>
          <w:tcPr>
            <w:tcW w:type="dxa" w:w="1600"/>
          </w:tcPr>
          <w:p>
            <w:r>
              <w:t xml:space="preserve">Phase 3</w:t>
            </w:r>
          </w:p>
        </w:tc>
        <w:tc>
          <w:tcPr>
            <w:tcW w:type="dxa" w:w="1600"/>
          </w:tcPr>
          <w:p>
            <w:r>
              <w:t xml:space="preserve">100,000+</w:t>
            </w:r>
          </w:p>
        </w:tc>
        <w:tc>
          <w:tcPr>
            <w:tcW w:type="dxa" w:w="3200"/>
          </w:tcPr>
          <w:p>
            <w:r>
              <w:t xml:space="preserve">$1,000+ (scales with usage)</w:t>
            </w:r>
          </w:p>
        </w:tc>
        <w:tc>
          <w:tcPr>
            <w:tcW w:type="dxa" w:w="4880"/>
          </w:tcPr>
          <w:p>
            <w:r>
              <w:t xml:space="preserve">CDN, object storage egress, multiple API instances, queues, monitoring — costs scale with streaming bandwidth, which is typically the largest line item for audio platforms.</w:t>
            </w:r>
          </w:p>
        </w:tc>
      </w:tr>
    </w:tbl>
    <w:p>
      <w:pPr>
        <w:spacing w:after="120"/>
      </w:pPr>
      <w:r>
        <w:t xml:space="preserve">Bandwidth for audio streaming (not compute) is the cost driver that will dominate at scale, so a CDN and audio compression/quality-tier strategy should be priced out before Phase 3, not during it.</w:t>
      </w:r>
    </w:p>
    <w:p>
      <w:pPr>
        <w:pStyle w:val="Heading2"/>
        <w:spacing w:after="120" w:before="240"/>
      </w:pPr>
      <w:r>
        <w:t xml:space="preserve">4. Legal / licensing feasibility — needs attention</w:t>
      </w:r>
    </w:p>
    <w:p>
      <w:pPr>
        <w:spacing w:after="120"/>
      </w:pPr>
      <w:r>
        <w:t xml:space="preserve">The design covers storage and playback of MP3 files but does not address music copyright. If users will upload copyrighted commercial music rather than only original or licensed content, the platform would need takedown handling (e.g., a DMCA-style process), content ID or fingerprinting to detect unauthorized uploads, and terms of service assigning responsibility to uploaders. This is a legal risk area, not a technical one, and should be resolved before any public launch beyond a closed group of trusted users.</w:t>
      </w:r>
    </w:p>
    <w:p>
      <w:pPr>
        <w:pStyle w:val="Heading2"/>
        <w:spacing w:after="120" w:before="240"/>
      </w:pPr>
      <w:r>
        <w:t xml:space="preserve">5. Schedule feasibility — indicative timeline for Phase 1</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4200"/>
      </w:tblGrid>
      <w:tr>
        <w:tc>
          <w:tcPr>
            <w:tcW w:type="dxa" w:w="4200"/>
            <w:shd w:fill="2F5496" w:val="clear"/>
          </w:tcPr>
          <w:p>
            <w:r>
              <w:rPr>
                <w:b/>
                <w:bCs/>
                <w:color w:val="FFFFFF"/>
              </w:rPr>
              <w:t xml:space="preserve">Workstream</w:t>
            </w:r>
          </w:p>
        </w:tc>
        <w:tc>
          <w:tcPr>
            <w:tcW w:type="dxa" w:w="2800"/>
            <w:shd w:fill="2F5496" w:val="clear"/>
          </w:tcPr>
          <w:p>
            <w:r>
              <w:rPr>
                <w:b/>
                <w:bCs/>
                <w:color w:val="FFFFFF"/>
              </w:rPr>
              <w:t xml:space="preserve">Estimated Duration</w:t>
            </w:r>
          </w:p>
        </w:tc>
        <w:tc>
          <w:tcPr>
            <w:tcW w:type="dxa" w:w="4200"/>
            <w:shd w:fill="2F5496" w:val="clear"/>
          </w:tcPr>
          <w:p>
            <w:r>
              <w:rPr>
                <w:b/>
                <w:bCs/>
                <w:color w:val="FFFFFF"/>
              </w:rPr>
              <w:t xml:space="preserve">Depends on</w:t>
            </w:r>
          </w:p>
        </w:tc>
      </w:tr>
      <w:tr>
        <w:tc>
          <w:tcPr>
            <w:tcW w:type="dxa" w:w="4200"/>
          </w:tcPr>
          <w:p>
            <w:r>
              <w:t xml:space="preserve">Project setup (repos, Supabase project, CI)</w:t>
            </w:r>
          </w:p>
        </w:tc>
        <w:tc>
          <w:tcPr>
            <w:tcW w:type="dxa" w:w="2800"/>
          </w:tcPr>
          <w:p>
            <w:r>
              <w:t xml:space="preserve">3–5 days</w:t>
            </w:r>
          </w:p>
        </w:tc>
        <w:tc>
          <w:tcPr>
            <w:tcW w:type="dxa" w:w="4200"/>
          </w:tcPr>
          <w:p>
            <w:r>
              <w:t xml:space="preserve">—</w:t>
            </w:r>
          </w:p>
        </w:tc>
      </w:tr>
      <w:tr>
        <w:tc>
          <w:tcPr>
            <w:tcW w:type="dxa" w:w="4200"/>
          </w:tcPr>
          <w:p>
            <w:r>
              <w:t xml:space="preserve">Auth: register/login/JWT/BCrypt</w:t>
            </w:r>
          </w:p>
        </w:tc>
        <w:tc>
          <w:tcPr>
            <w:tcW w:type="dxa" w:w="2800"/>
          </w:tcPr>
          <w:p>
            <w:r>
              <w:t xml:space="preserve">1 week</w:t>
            </w:r>
          </w:p>
        </w:tc>
        <w:tc>
          <w:tcPr>
            <w:tcW w:type="dxa" w:w="4200"/>
          </w:tcPr>
          <w:p>
            <w:r>
              <w:t xml:space="preserve">Setup</w:t>
            </w:r>
          </w:p>
        </w:tc>
      </w:tr>
      <w:tr>
        <w:tc>
          <w:tcPr>
            <w:tcW w:type="dxa" w:w="4200"/>
          </w:tcPr>
          <w:p>
            <w:r>
              <w:t xml:space="preserve">Song upload + storage integration</w:t>
            </w:r>
          </w:p>
        </w:tc>
        <w:tc>
          <w:tcPr>
            <w:tcW w:type="dxa" w:w="2800"/>
          </w:tcPr>
          <w:p>
            <w:r>
              <w:t xml:space="preserve">1–1.5 weeks</w:t>
            </w:r>
          </w:p>
        </w:tc>
        <w:tc>
          <w:tcPr>
            <w:tcW w:type="dxa" w:w="4200"/>
          </w:tcPr>
          <w:p>
            <w:r>
              <w:t xml:space="preserve">Auth</w:t>
            </w:r>
          </w:p>
        </w:tc>
      </w:tr>
      <w:tr>
        <w:tc>
          <w:tcPr>
            <w:tcW w:type="dxa" w:w="4200"/>
          </w:tcPr>
          <w:p>
            <w:r>
              <w:t xml:space="preserve">Playlist CRUD</w:t>
            </w:r>
          </w:p>
        </w:tc>
        <w:tc>
          <w:tcPr>
            <w:tcW w:type="dxa" w:w="2800"/>
          </w:tcPr>
          <w:p>
            <w:r>
              <w:t xml:space="preserve">3–5 days</w:t>
            </w:r>
          </w:p>
        </w:tc>
        <w:tc>
          <w:tcPr>
            <w:tcW w:type="dxa" w:w="4200"/>
          </w:tcPr>
          <w:p>
            <w:r>
              <w:t xml:space="preserve">Song upload</w:t>
            </w:r>
          </w:p>
        </w:tc>
      </w:tr>
      <w:tr>
        <w:tc>
          <w:tcPr>
            <w:tcW w:type="dxa" w:w="4200"/>
          </w:tcPr>
          <w:p>
            <w:r>
              <w:t xml:space="preserve">Playback UI (HTML5 Audio, controls)</w:t>
            </w:r>
          </w:p>
        </w:tc>
        <w:tc>
          <w:tcPr>
            <w:tcW w:type="dxa" w:w="2800"/>
          </w:tcPr>
          <w:p>
            <w:r>
              <w:t xml:space="preserve">1 week</w:t>
            </w:r>
          </w:p>
        </w:tc>
        <w:tc>
          <w:tcPr>
            <w:tcW w:type="dxa" w:w="4200"/>
          </w:tcPr>
          <w:p>
            <w:r>
              <w:t xml:space="preserve">Song upload</w:t>
            </w:r>
          </w:p>
        </w:tc>
      </w:tr>
      <w:tr>
        <w:tc>
          <w:tcPr>
            <w:tcW w:type="dxa" w:w="4200"/>
          </w:tcPr>
          <w:p>
            <w:r>
              <w:t xml:space="preserve">Search (song/artist/album/genre)</w:t>
            </w:r>
          </w:p>
        </w:tc>
        <w:tc>
          <w:tcPr>
            <w:tcW w:type="dxa" w:w="2800"/>
          </w:tcPr>
          <w:p>
            <w:r>
              <w:t xml:space="preserve">3–5 days</w:t>
            </w:r>
          </w:p>
        </w:tc>
        <w:tc>
          <w:tcPr>
            <w:tcW w:type="dxa" w:w="4200"/>
          </w:tcPr>
          <w:p>
            <w:r>
              <w:t xml:space="preserve">Song upload</w:t>
            </w:r>
          </w:p>
        </w:tc>
      </w:tr>
      <w:tr>
        <w:tc>
          <w:tcPr>
            <w:tcW w:type="dxa" w:w="4200"/>
          </w:tcPr>
          <w:p>
            <w:r>
              <w:t xml:space="preserve">Testing, bug-fixing, polish</w:t>
            </w:r>
          </w:p>
        </w:tc>
        <w:tc>
          <w:tcPr>
            <w:tcW w:type="dxa" w:w="2800"/>
          </w:tcPr>
          <w:p>
            <w:r>
              <w:t xml:space="preserve">1 week</w:t>
            </w:r>
          </w:p>
        </w:tc>
        <w:tc>
          <w:tcPr>
            <w:tcW w:type="dxa" w:w="4200"/>
          </w:tcPr>
          <w:p>
            <w:r>
              <w:t xml:space="preserve">All above</w:t>
            </w:r>
          </w:p>
        </w:tc>
      </w:tr>
    </w:tbl>
    <w:p>
      <w:pPr>
        <w:spacing w:after="120"/>
      </w:pPr>
      <w:r>
        <w:t xml:space="preserve">Total: roughly 6–8 weeks of focused work for a single full-stack developer to reach a usable 10-user Phase 1, excluding design/UX polish and legal review.</w:t>
      </w:r>
    </w:p>
    <w:p>
      <w:pPr>
        <w:pStyle w:val="Heading2"/>
        <w:spacing w:after="120" w:before="240"/>
      </w:pPr>
      <w:r>
        <w:t xml:space="preserve">6. Risk assessment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4800"/>
      </w:tblGrid>
      <w:tr>
        <w:tc>
          <w:tcPr>
            <w:tcW w:type="dxa" w:w="3200"/>
            <w:shd w:fill="2F5496" w:val="clear"/>
          </w:tcPr>
          <w:p>
            <w:r>
              <w:rPr>
                <w:b/>
                <w:bCs/>
                <w:color w:val="FFFFFF"/>
              </w:rPr>
              <w:t xml:space="preserve">Risk</w:t>
            </w:r>
          </w:p>
        </w:tc>
        <w:tc>
          <w:tcPr>
            <w:tcW w:type="dxa" w:w="1600"/>
            <w:shd w:fill="2F5496" w:val="clear"/>
          </w:tcPr>
          <w:p>
            <w:r>
              <w:rPr>
                <w:b/>
                <w:bCs/>
                <w:color w:val="FFFFFF"/>
              </w:rPr>
              <w:t xml:space="preserve">Likelihood</w:t>
            </w:r>
          </w:p>
        </w:tc>
        <w:tc>
          <w:tcPr>
            <w:tcW w:type="dxa" w:w="1600"/>
            <w:shd w:fill="2F5496" w:val="clear"/>
          </w:tcPr>
          <w:p>
            <w:r>
              <w:rPr>
                <w:b/>
                <w:bCs/>
                <w:color w:val="FFFFFF"/>
              </w:rPr>
              <w:t xml:space="preserve">Impact</w:t>
            </w:r>
          </w:p>
        </w:tc>
        <w:tc>
          <w:tcPr>
            <w:tcW w:type="dxa" w:w="4800"/>
            <w:shd w:fill="2F5496" w:val="clear"/>
          </w:tcPr>
          <w:p>
            <w:r>
              <w:rPr>
                <w:b/>
                <w:bCs/>
                <w:color w:val="FFFFFF"/>
              </w:rPr>
              <w:t xml:space="preserve">Mitigation</w:t>
            </w:r>
          </w:p>
        </w:tc>
      </w:tr>
      <w:tr>
        <w:tc>
          <w:tcPr>
            <w:tcW w:type="dxa" w:w="3200"/>
          </w:tcPr>
          <w:p>
            <w:r>
              <w:t xml:space="preserve">Copyright infringement from user uploads</w:t>
            </w:r>
          </w:p>
        </w:tc>
        <w:tc>
          <w:tcPr>
            <w:tcW w:type="dxa" w:w="1600"/>
          </w:tcPr>
          <w:p>
            <w:r>
              <w:t xml:space="preserve">Medium–High</w:t>
            </w:r>
          </w:p>
        </w:tc>
        <w:tc>
          <w:tcPr>
            <w:tcW w:type="dxa" w:w="1600"/>
          </w:tcPr>
          <w:p>
            <w:r>
              <w:t xml:space="preserve">High</w:t>
            </w:r>
          </w:p>
        </w:tc>
        <w:tc>
          <w:tcPr>
            <w:tcW w:type="dxa" w:w="4800"/>
          </w:tcPr>
          <w:p>
            <w:r>
              <w:t xml:space="preserve">Restrict to closed beta initially; add ToS and takedown process before public launch.</w:t>
            </w:r>
          </w:p>
        </w:tc>
      </w:tr>
      <w:tr>
        <w:tc>
          <w:tcPr>
            <w:tcW w:type="dxa" w:w="3200"/>
          </w:tcPr>
          <w:p>
            <w:r>
              <w:t xml:space="preserve">No refresh tokens causes forced re-logins</w:t>
            </w:r>
          </w:p>
        </w:tc>
        <w:tc>
          <w:tcPr>
            <w:tcW w:type="dxa" w:w="1600"/>
          </w:tcPr>
          <w:p>
            <w:r>
              <w:t xml:space="preserve">High</w:t>
            </w:r>
          </w:p>
        </w:tc>
        <w:tc>
          <w:tcPr>
            <w:tcW w:type="dxa" w:w="1600"/>
          </w:tcPr>
          <w:p>
            <w:r>
              <w:t xml:space="preserve">Low</w:t>
            </w:r>
          </w:p>
        </w:tc>
        <w:tc>
          <w:tcPr>
            <w:tcW w:type="dxa" w:w="4800"/>
          </w:tcPr>
          <w:p>
            <w:r>
              <w:t xml:space="preserve">Acceptable for Phase 1; prioritize in Phase 2.</w:t>
            </w:r>
          </w:p>
        </w:tc>
      </w:tr>
      <w:tr>
        <w:tc>
          <w:tcPr>
            <w:tcW w:type="dxa" w:w="3200"/>
          </w:tcPr>
          <w:p>
            <w:r>
              <w:t xml:space="preserve">Storage egress costs spike with adoption</w:t>
            </w:r>
          </w:p>
        </w:tc>
        <w:tc>
          <w:tcPr>
            <w:tcW w:type="dxa" w:w="1600"/>
          </w:tcPr>
          <w:p>
            <w:r>
              <w:t xml:space="preserve">Medium</w:t>
            </w:r>
          </w:p>
        </w:tc>
        <w:tc>
          <w:tcPr>
            <w:tcW w:type="dxa" w:w="1600"/>
          </w:tcPr>
          <w:p>
            <w:r>
              <w:t xml:space="preserve">Medium</w:t>
            </w:r>
          </w:p>
        </w:tc>
        <w:tc>
          <w:tcPr>
            <w:tcW w:type="dxa" w:w="4800"/>
          </w:tcPr>
          <w:p>
            <w:r>
              <w:t xml:space="preserve">Add CDN and monitor bandwidth before Phase 3.</w:t>
            </w:r>
          </w:p>
        </w:tc>
      </w:tr>
      <w:tr>
        <w:tc>
          <w:tcPr>
            <w:tcW w:type="dxa" w:w="3200"/>
          </w:tcPr>
          <w:p>
            <w:r>
              <w:t xml:space="preserve">Single API instance becomes a bottleneck</w:t>
            </w:r>
          </w:p>
        </w:tc>
        <w:tc>
          <w:tcPr>
            <w:tcW w:type="dxa" w:w="1600"/>
          </w:tcPr>
          <w:p>
            <w:r>
              <w:t xml:space="preserve">Low at 10 users</w:t>
            </w:r>
          </w:p>
        </w:tc>
        <w:tc>
          <w:tcPr>
            <w:tcW w:type="dxa" w:w="1600"/>
          </w:tcPr>
          <w:p>
            <w:r>
              <w:t xml:space="preserve">Medium</w:t>
            </w:r>
          </w:p>
        </w:tc>
        <w:tc>
          <w:tcPr>
            <w:tcW w:type="dxa" w:w="4800"/>
          </w:tcPr>
          <w:p>
            <w:r>
              <w:t xml:space="preserve">Roadmap already plans horizontal scaling in Phase 3.</w:t>
            </w:r>
          </w:p>
        </w:tc>
      </w:tr>
      <w:tr>
        <w:tc>
          <w:tcPr>
            <w:tcW w:type="dxa" w:w="3200"/>
          </w:tcPr>
          <w:p>
            <w:r>
              <w:t xml:space="preserve">No malware/file-type validation on uploads</w:t>
            </w:r>
          </w:p>
        </w:tc>
        <w:tc>
          <w:tcPr>
            <w:tcW w:type="dxa" w:w="1600"/>
          </w:tcPr>
          <w:p>
            <w:r>
              <w:t xml:space="preserve">Medium</w:t>
            </w:r>
          </w:p>
        </w:tc>
        <w:tc>
          <w:tcPr>
            <w:tcW w:type="dxa" w:w="1600"/>
          </w:tcPr>
          <w:p>
            <w:r>
              <w:t xml:space="preserve">Medium</w:t>
            </w:r>
          </w:p>
        </w:tc>
        <w:tc>
          <w:tcPr>
            <w:tcW w:type="dxa" w:w="4800"/>
          </w:tcPr>
          <w:p>
            <w:r>
              <w:t xml:space="preserve">Add server-side MIME/type and size validation at upload endpoint.</w:t>
            </w:r>
          </w:p>
        </w:tc>
      </w:tr>
    </w:tbl>
    <w:p>
      <w:pPr>
        <w:pStyle w:val="Heading2"/>
        <w:spacing w:after="120" w:before="240"/>
      </w:pPr>
      <w:r>
        <w:t xml:space="preserve">7. Overall feasibility verdict</w:t>
      </w:r>
    </w:p>
    <w:p>
      <w:pPr>
        <w:spacing w:after="120"/>
      </w:pPr>
      <w:r>
        <w:t xml:space="preserve">Phase 1 as scoped is straightforward to build with well-understood, low-cost technology and a realistic 6–8 week timeline for a single developer. The project's own Phase 2/3 roadmap is technically sound and appropriately deferred. The two items most worth addressing before any wider rollout are copyright/licensing exposure and basic upload validation — both are process and policy fixes rather than architectural changes, so they do not threaten the feasibility of the plan, only its readiness for a public audience.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2026-07-23T09:59:04.396Z</dcterms:created>
  <dcterms:modified xsi:type="dcterms:W3CDTF">2026-07-23T09:59:04.413Z</dcterms:modified>
</cp:coreProperties>
</file>

<file path=docProps/custom.xml><?xml version="1.0" encoding="utf-8"?>
<Properties xmlns="http://schemas.openxmlformats.org/officeDocument/2006/custom-properties" xmlns:vt="http://schemas.openxmlformats.org/officeDocument/2006/docPropsVTypes"/>
</file>