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E6F7" w14:textId="4BC8BCBD" w:rsidR="001146F0" w:rsidRDefault="008D79AC">
      <w:pPr>
        <w:pStyle w:val="Title"/>
      </w:pPr>
      <w:r>
        <w:t xml:space="preserve">Cluster </w:t>
      </w:r>
      <w:r w:rsidR="00322497">
        <w:t>5</w:t>
      </w:r>
      <w:r>
        <w:t xml:space="preserve"> - PA Header &amp; Total Flow</w:t>
      </w:r>
    </w:p>
    <w:p w14:paraId="4A824402" w14:textId="77777777" w:rsidR="001146F0" w:rsidRDefault="008D79AC">
      <w:pPr>
        <w:spacing w:after="120"/>
      </w:pPr>
      <w:r>
        <w:rPr>
          <w:b/>
          <w:color w:val="444444"/>
          <w:sz w:val="21"/>
        </w:rPr>
        <w:t>Training data relationships, validation logic and performance checking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04"/>
        <w:gridCol w:w="5004"/>
      </w:tblGrid>
      <w:tr w:rsidR="001146F0" w14:paraId="62B3FA64" w14:textId="77777777" w:rsidTr="001A1DC9">
        <w:trPr>
          <w:jc w:val="center"/>
        </w:trPr>
        <w:tc>
          <w:tcPr>
            <w:tcW w:w="5004" w:type="dxa"/>
            <w:shd w:val="clear" w:color="auto" w:fill="DAEEF3" w:themeFill="accent5" w:themeFillTint="33"/>
            <w:tcMar>
              <w:top w:w="110" w:type="dxa"/>
              <w:left w:w="125" w:type="dxa"/>
              <w:bottom w:w="110" w:type="dxa"/>
              <w:right w:w="125" w:type="dxa"/>
            </w:tcMar>
          </w:tcPr>
          <w:p w14:paraId="0277D600" w14:textId="77777777" w:rsidR="001146F0" w:rsidRPr="001A1DC9" w:rsidRDefault="008D79AC">
            <w:pPr>
              <w:jc w:val="center"/>
              <w:rPr>
                <w:color w:val="000000" w:themeColor="text1"/>
              </w:rPr>
            </w:pPr>
            <w:r w:rsidRPr="001A1DC9">
              <w:rPr>
                <w:b/>
                <w:color w:val="000000" w:themeColor="text1"/>
              </w:rPr>
              <w:t>OBJECTIVE</w:t>
            </w:r>
          </w:p>
        </w:tc>
        <w:tc>
          <w:tcPr>
            <w:tcW w:w="5004" w:type="dxa"/>
            <w:shd w:val="clear" w:color="auto" w:fill="DAEEF3" w:themeFill="accent5" w:themeFillTint="33"/>
            <w:tcMar>
              <w:top w:w="110" w:type="dxa"/>
              <w:left w:w="145" w:type="dxa"/>
              <w:bottom w:w="110" w:type="dxa"/>
              <w:right w:w="145" w:type="dxa"/>
            </w:tcMar>
          </w:tcPr>
          <w:p w14:paraId="4A59663C" w14:textId="77777777" w:rsidR="001146F0" w:rsidRPr="001A1DC9" w:rsidRDefault="008D79AC">
            <w:pPr>
              <w:rPr>
                <w:color w:val="000000" w:themeColor="text1"/>
              </w:rPr>
            </w:pPr>
            <w:r w:rsidRPr="001A1DC9">
              <w:rPr>
                <w:b/>
                <w:color w:val="000000" w:themeColor="text1"/>
              </w:rPr>
              <w:t>Establish the normal relationship between boiler demand, total Primary Air flow and PA flow delivered through the HGG/header branches, and identify flow deficiency, imbalance or measurement deviation before combustion and fluidization are affected.</w:t>
            </w:r>
          </w:p>
        </w:tc>
      </w:tr>
    </w:tbl>
    <w:p w14:paraId="2D99C311" w14:textId="77777777" w:rsidR="001146F0" w:rsidRDefault="008D79AC">
      <w:pPr>
        <w:pStyle w:val="Heading1"/>
      </w:pPr>
      <w:r>
        <w:t>Scope and Variables</w:t>
      </w:r>
    </w:p>
    <w:p w14:paraId="7EDD3CDD" w14:textId="0829AB1A" w:rsidR="001146F0" w:rsidRDefault="008D79AC">
      <w:r>
        <w:t xml:space="preserve">Cluster </w:t>
      </w:r>
      <w:r w:rsidR="00ED7A4A">
        <w:t>5</w:t>
      </w:r>
      <w:r>
        <w:t xml:space="preserve"> is the combined PA header and total-flow cluster in the </w:t>
      </w:r>
      <w:r w:rsidR="009B78AF">
        <w:t>overall</w:t>
      </w:r>
      <w:r>
        <w:t>-cluster dependency matrix.</w:t>
      </w:r>
      <w:r w:rsidR="009B78AF">
        <w:t xml:space="preserve"> HGG </w:t>
      </w:r>
      <w:r w:rsidR="00D62B80">
        <w:t>is specific</w:t>
      </w:r>
      <w:r w:rsidR="009B78AF">
        <w:t xml:space="preserve"> to TKIL </w:t>
      </w:r>
      <w:r w:rsidR="000606D8">
        <w:t>Boiler,</w:t>
      </w:r>
      <w:r w:rsidR="00A7373C">
        <w:t xml:space="preserve"> so the above cluster </w:t>
      </w:r>
      <w:r w:rsidR="00AC7EB3">
        <w:t>is only</w:t>
      </w:r>
      <w:r w:rsidR="008B572C">
        <w:t xml:space="preserve"> applicable to TKIL installation having </w:t>
      </w:r>
      <w:r w:rsidR="00DD3A5D">
        <w:t>HGG. No of HGG is a plant specific</w:t>
      </w:r>
      <w:r w:rsidR="00D62B80">
        <w:t xml:space="preserve"> input</w:t>
      </w:r>
      <w:r w:rsidR="000606D8">
        <w:t xml:space="preserve"> will depend on Boiler configuration. </w:t>
      </w:r>
      <w:r w:rsidR="00DD3A5D">
        <w:t xml:space="preserve"> </w:t>
      </w:r>
      <w:r>
        <w:t xml:space="preserve"> Total PA Flow is the primary key and is benchmarked against </w:t>
      </w:r>
      <w:proofErr w:type="gramStart"/>
      <w:r>
        <w:t xml:space="preserve">main </w:t>
      </w:r>
      <w:r w:rsidR="0021167A">
        <w:t>stream</w:t>
      </w:r>
      <w:proofErr w:type="gramEnd"/>
      <w:r>
        <w:t xml:space="preserve"> flow. The four PA-flow-to-HGG measurements provide supporting branch-flow information. </w:t>
      </w:r>
      <w:r w:rsidR="00FF3E44">
        <w:t xml:space="preserve">HGG is </w:t>
      </w:r>
      <w:r w:rsidR="00512EEA">
        <w:t xml:space="preserve">only used during Start </w:t>
      </w:r>
      <w:r w:rsidR="00870B33">
        <w:t>Up,</w:t>
      </w:r>
      <w:r w:rsidR="00512EEA">
        <w:t xml:space="preserve"> </w:t>
      </w:r>
      <w:r w:rsidR="00326958">
        <w:t xml:space="preserve">so this model is </w:t>
      </w:r>
      <w:r w:rsidR="00870B33">
        <w:t>used to validate data during Start Up condition.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3960"/>
        <w:gridCol w:w="3499"/>
      </w:tblGrid>
      <w:tr w:rsidR="001146F0" w14:paraId="2BBE0C3A" w14:textId="77777777">
        <w:trPr>
          <w:tblHeader/>
          <w:jc w:val="center"/>
        </w:trPr>
        <w:tc>
          <w:tcPr>
            <w:tcW w:w="2045" w:type="dxa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74D463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5"/>
              </w:rPr>
              <w:t>Indicator</w:t>
            </w:r>
          </w:p>
        </w:tc>
        <w:tc>
          <w:tcPr>
            <w:tcW w:w="3960" w:type="dxa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04953D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5"/>
              </w:rPr>
              <w:t>Calculation / relationship</w:t>
            </w:r>
          </w:p>
        </w:tc>
        <w:tc>
          <w:tcPr>
            <w:tcW w:w="3499" w:type="dxa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DDEC46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5"/>
              </w:rPr>
              <w:t>Primary interpretation</w:t>
            </w:r>
          </w:p>
        </w:tc>
      </w:tr>
      <w:tr w:rsidR="001146F0" w14:paraId="6453B858" w14:textId="77777777">
        <w:trPr>
          <w:jc w:val="center"/>
        </w:trPr>
        <w:tc>
          <w:tcPr>
            <w:tcW w:w="2045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4E7DBE5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Demand reference</w:t>
            </w:r>
          </w:p>
        </w:tc>
        <w:tc>
          <w:tcPr>
            <w:tcW w:w="3960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DEBBD54" w14:textId="77777777" w:rsidR="001146F0" w:rsidRDefault="008D79AC">
            <w:pPr>
              <w:spacing w:after="0"/>
            </w:pPr>
            <w:r>
              <w:rPr>
                <w:sz w:val="14"/>
              </w:rPr>
              <w:t>Steam Flow-A; Steam Flow-B</w:t>
            </w:r>
          </w:p>
        </w:tc>
        <w:tc>
          <w:tcPr>
            <w:tcW w:w="3499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17CB10E4" w14:textId="740E2E67" w:rsidR="001146F0" w:rsidRDefault="008D79AC">
            <w:pPr>
              <w:spacing w:after="0"/>
            </w:pPr>
            <w:r>
              <w:rPr>
                <w:sz w:val="14"/>
              </w:rPr>
              <w:t xml:space="preserve">Defines expected PA demand for each load </w:t>
            </w:r>
            <w:r w:rsidR="00FF3E44">
              <w:rPr>
                <w:sz w:val="14"/>
              </w:rPr>
              <w:t>range. Already defined in Cluster 2.</w:t>
            </w:r>
          </w:p>
        </w:tc>
      </w:tr>
      <w:tr w:rsidR="001146F0" w14:paraId="6CBA99B1" w14:textId="77777777">
        <w:trPr>
          <w:jc w:val="center"/>
        </w:trPr>
        <w:tc>
          <w:tcPr>
            <w:tcW w:w="2045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7AD3E6AD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Primary key</w:t>
            </w:r>
          </w:p>
        </w:tc>
        <w:tc>
          <w:tcPr>
            <w:tcW w:w="3960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2E456B77" w14:textId="77777777" w:rsidR="001146F0" w:rsidRDefault="008D79AC">
            <w:pPr>
              <w:spacing w:after="0"/>
            </w:pPr>
            <w:r>
              <w:rPr>
                <w:sz w:val="14"/>
              </w:rPr>
              <w:t>Total PA Flow</w:t>
            </w:r>
          </w:p>
        </w:tc>
        <w:tc>
          <w:tcPr>
            <w:tcW w:w="3499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8388E5F" w14:textId="5A363D48" w:rsidR="001146F0" w:rsidRDefault="008D79AC">
            <w:pPr>
              <w:spacing w:after="0"/>
            </w:pPr>
            <w:r>
              <w:rPr>
                <w:sz w:val="14"/>
              </w:rPr>
              <w:t>Main PA output indicator.</w:t>
            </w:r>
          </w:p>
        </w:tc>
      </w:tr>
      <w:tr w:rsidR="001146F0" w14:paraId="24282930" w14:textId="77777777">
        <w:trPr>
          <w:jc w:val="center"/>
        </w:trPr>
        <w:tc>
          <w:tcPr>
            <w:tcW w:w="2045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4DA70A92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HGG branch-A</w:t>
            </w:r>
          </w:p>
        </w:tc>
        <w:tc>
          <w:tcPr>
            <w:tcW w:w="3960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1C4D52D7" w14:textId="77777777" w:rsidR="001146F0" w:rsidRDefault="008D79AC">
            <w:pPr>
              <w:spacing w:after="0"/>
            </w:pPr>
            <w:r>
              <w:rPr>
                <w:sz w:val="14"/>
              </w:rPr>
              <w:t>PA Flow to HGG-A (1) and (2)</w:t>
            </w:r>
          </w:p>
        </w:tc>
        <w:tc>
          <w:tcPr>
            <w:tcW w:w="3499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5D6FC6BD" w14:textId="77777777" w:rsidR="001146F0" w:rsidRDefault="008D79AC">
            <w:pPr>
              <w:spacing w:after="0"/>
            </w:pPr>
            <w:r>
              <w:rPr>
                <w:sz w:val="14"/>
              </w:rPr>
              <w:t>Validates A-branch delivery and redundant readings.</w:t>
            </w:r>
          </w:p>
        </w:tc>
      </w:tr>
      <w:tr w:rsidR="001146F0" w14:paraId="6AE05585" w14:textId="77777777">
        <w:trPr>
          <w:jc w:val="center"/>
        </w:trPr>
        <w:tc>
          <w:tcPr>
            <w:tcW w:w="2045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3C0D8D3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HGG branch-B</w:t>
            </w:r>
          </w:p>
        </w:tc>
        <w:tc>
          <w:tcPr>
            <w:tcW w:w="3960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84AEDF3" w14:textId="77777777" w:rsidR="001146F0" w:rsidRDefault="008D79AC">
            <w:pPr>
              <w:spacing w:after="0"/>
            </w:pPr>
            <w:r>
              <w:rPr>
                <w:sz w:val="14"/>
              </w:rPr>
              <w:t>PA Flow to HGG-B (1) and (2)</w:t>
            </w:r>
          </w:p>
        </w:tc>
        <w:tc>
          <w:tcPr>
            <w:tcW w:w="3499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D9727D8" w14:textId="77777777" w:rsidR="001146F0" w:rsidRDefault="008D79AC">
            <w:pPr>
              <w:spacing w:after="0"/>
            </w:pPr>
            <w:r>
              <w:rPr>
                <w:sz w:val="14"/>
              </w:rPr>
              <w:t>Validates B-branch delivery and redundant readings.</w:t>
            </w:r>
          </w:p>
        </w:tc>
      </w:tr>
      <w:tr w:rsidR="001146F0" w14:paraId="3BCC3315" w14:textId="77777777">
        <w:trPr>
          <w:jc w:val="center"/>
        </w:trPr>
        <w:tc>
          <w:tcPr>
            <w:tcW w:w="2045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B3DB72B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Cross-cluster inputs</w:t>
            </w:r>
          </w:p>
        </w:tc>
        <w:tc>
          <w:tcPr>
            <w:tcW w:w="3960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49A8BD2B" w14:textId="77777777" w:rsidR="001146F0" w:rsidRDefault="008D79AC">
            <w:pPr>
              <w:spacing w:after="0"/>
            </w:pPr>
            <w:r>
              <w:rPr>
                <w:sz w:val="14"/>
              </w:rPr>
              <w:t>Load; PA fan status/speed/current; air-box pressure</w:t>
            </w:r>
          </w:p>
        </w:tc>
        <w:tc>
          <w:tcPr>
            <w:tcW w:w="3499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696DFE93" w14:textId="77777777" w:rsidR="001146F0" w:rsidRDefault="008D79AC">
            <w:pPr>
              <w:spacing w:after="0"/>
            </w:pPr>
            <w:r>
              <w:rPr>
                <w:sz w:val="14"/>
              </w:rPr>
              <w:t>Used for validation and fault isolation where available.</w:t>
            </w:r>
          </w:p>
        </w:tc>
      </w:tr>
      <w:tr w:rsidR="001146F0" w14:paraId="03CF369F" w14:textId="77777777">
        <w:trPr>
          <w:jc w:val="center"/>
        </w:trPr>
        <w:tc>
          <w:tcPr>
            <w:tcW w:w="2045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23D072C4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Note</w:t>
            </w:r>
          </w:p>
        </w:tc>
        <w:tc>
          <w:tcPr>
            <w:tcW w:w="3960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ECF7D48" w14:textId="77777777" w:rsidR="001146F0" w:rsidRDefault="008D79AC">
            <w:pPr>
              <w:spacing w:after="0"/>
            </w:pPr>
            <w:r>
              <w:rPr>
                <w:sz w:val="14"/>
              </w:rPr>
              <w:t>Tags and units may vary by plant.</w:t>
            </w:r>
          </w:p>
        </w:tc>
        <w:tc>
          <w:tcPr>
            <w:tcW w:w="3499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4905EFD9" w14:textId="77777777" w:rsidR="001146F0" w:rsidRDefault="008D79AC">
            <w:pPr>
              <w:spacing w:after="0"/>
            </w:pPr>
            <w:r>
              <w:rPr>
                <w:sz w:val="14"/>
              </w:rPr>
              <w:t>Project-specific adjustment and DCS verification are required.</w:t>
            </w:r>
          </w:p>
        </w:tc>
      </w:tr>
    </w:tbl>
    <w:p w14:paraId="569D2FB0" w14:textId="77777777" w:rsidR="0021167A" w:rsidRDefault="0021167A">
      <w:pPr>
        <w:pStyle w:val="Heading1"/>
      </w:pPr>
    </w:p>
    <w:p w14:paraId="09C99FC9" w14:textId="4DC0DC7C" w:rsidR="0021167A" w:rsidRDefault="0021167A" w:rsidP="0021167A">
      <w:r>
        <w:t xml:space="preserve">HGG </w:t>
      </w:r>
      <w:r w:rsidR="004F4461">
        <w:t xml:space="preserve">Configuration is plant specific. </w:t>
      </w:r>
      <w:r w:rsidR="00920487">
        <w:t>Need Plant</w:t>
      </w:r>
      <w:r w:rsidR="00510F9B">
        <w:t xml:space="preserve"> specific adjustment.</w:t>
      </w:r>
    </w:p>
    <w:p w14:paraId="6B8CA27A" w14:textId="77777777" w:rsidR="0021167A" w:rsidRDefault="0021167A">
      <w:pPr>
        <w:pStyle w:val="Heading1"/>
      </w:pPr>
    </w:p>
    <w:p w14:paraId="3A4DA1CB" w14:textId="77777777" w:rsidR="0021167A" w:rsidRDefault="0021167A">
      <w:pPr>
        <w:pStyle w:val="Heading1"/>
      </w:pPr>
    </w:p>
    <w:p w14:paraId="3F6F1C9F" w14:textId="0D420F32" w:rsidR="001146F0" w:rsidRDefault="008D79AC">
      <w:pPr>
        <w:pStyle w:val="Heading1"/>
      </w:pPr>
      <w:r>
        <w:t>Process Relationship to be Learned</w:t>
      </w:r>
    </w:p>
    <w:p w14:paraId="24A9D5B5" w14:textId="70934774" w:rsidR="001146F0" w:rsidRDefault="008D79AC">
      <w:pPr>
        <w:jc w:val="center"/>
      </w:pPr>
      <w:r>
        <w:rPr>
          <w:b/>
          <w:color w:val="1F4E79"/>
        </w:rPr>
        <w:t xml:space="preserve">LOAD / STEAM </w:t>
      </w:r>
      <w:r w:rsidR="00510F9B">
        <w:rPr>
          <w:b/>
          <w:color w:val="1F4E79"/>
        </w:rPr>
        <w:t>DEMAND -</w:t>
      </w:r>
      <w:proofErr w:type="gramStart"/>
      <w:r>
        <w:rPr>
          <w:b/>
          <w:color w:val="1F4E79"/>
        </w:rPr>
        <w:t>&gt;  PA</w:t>
      </w:r>
      <w:proofErr w:type="gramEnd"/>
      <w:r>
        <w:rPr>
          <w:b/>
          <w:color w:val="1F4E79"/>
        </w:rPr>
        <w:t xml:space="preserve"> FAN </w:t>
      </w:r>
      <w:r w:rsidR="00423D74">
        <w:rPr>
          <w:b/>
          <w:color w:val="1F4E79"/>
        </w:rPr>
        <w:t>OUTPUT -</w:t>
      </w:r>
      <w:proofErr w:type="gramStart"/>
      <w:r>
        <w:rPr>
          <w:b/>
          <w:color w:val="1F4E79"/>
        </w:rPr>
        <w:t>&gt;  PA</w:t>
      </w:r>
      <w:proofErr w:type="gramEnd"/>
      <w:r>
        <w:rPr>
          <w:b/>
          <w:color w:val="1F4E79"/>
        </w:rPr>
        <w:t xml:space="preserve"> </w:t>
      </w:r>
      <w:proofErr w:type="gramStart"/>
      <w:r>
        <w:rPr>
          <w:b/>
          <w:color w:val="1F4E79"/>
        </w:rPr>
        <w:t>HEADER  -&gt;  HGG</w:t>
      </w:r>
      <w:proofErr w:type="gramEnd"/>
      <w:r>
        <w:rPr>
          <w:b/>
          <w:color w:val="1F4E79"/>
        </w:rPr>
        <w:t xml:space="preserve"> / AIR-SIDE DELIVERY</w:t>
      </w:r>
    </w:p>
    <w:p w14:paraId="22784158" w14:textId="1732F6D9" w:rsidR="001146F0" w:rsidRDefault="008D79AC">
      <w:r>
        <w:t xml:space="preserve">As boiler production increases, total PA flow should increase within a plant-specific operating envelope. The relationship may not be perfectly linear because fuel quality, bed condition, fan combination, damper position and PA-system resistance affect the required flow. Historical data should therefore define a normal range for each user-defined load band and equipment </w:t>
      </w:r>
      <w:r w:rsidR="00BA2B9E">
        <w:t xml:space="preserve">configuration. During normal operation HGG should </w:t>
      </w:r>
      <w:r w:rsidR="00920487">
        <w:t>be out of service Normally operates at low load and Start- Up condition.</w:t>
      </w:r>
    </w:p>
    <w:p w14:paraId="7A6F9678" w14:textId="77777777" w:rsidR="001146F0" w:rsidRDefault="008D79AC">
      <w:pPr>
        <w:pStyle w:val="Heading2"/>
      </w:pPr>
      <w:r>
        <w:t>Steam-Flow Reference and Load Bands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9"/>
      </w:tblGrid>
      <w:tr w:rsidR="001146F0" w14:paraId="7D202C3C" w14:textId="77777777">
        <w:trPr>
          <w:jc w:val="center"/>
        </w:trPr>
        <w:tc>
          <w:tcPr>
            <w:tcW w:w="10009" w:type="dxa"/>
            <w:shd w:val="clear" w:color="auto" w:fill="EEF4F8"/>
            <w:tcMar>
              <w:top w:w="95" w:type="dxa"/>
              <w:left w:w="150" w:type="dxa"/>
              <w:bottom w:w="95" w:type="dxa"/>
              <w:right w:w="150" w:type="dxa"/>
            </w:tcMar>
          </w:tcPr>
          <w:p w14:paraId="25EC8111" w14:textId="01DBAA27" w:rsidR="001146F0" w:rsidRDefault="00326958">
            <w:pPr>
              <w:jc w:val="center"/>
            </w:pPr>
            <w:r>
              <w:rPr>
                <w:rFonts w:ascii="Cambria Math" w:hAnsi="Cambria Math"/>
                <w:b/>
                <w:sz w:val="18"/>
              </w:rPr>
              <w:t>Validated Value from Cluster 1.</w:t>
            </w:r>
          </w:p>
        </w:tc>
      </w:tr>
    </w:tbl>
    <w:p w14:paraId="564DE970" w14:textId="71D5F35F" w:rsidR="001146F0" w:rsidRDefault="008D79AC">
      <w:pPr>
        <w:pStyle w:val="ListBullet"/>
      </w:pPr>
      <w:r>
        <w:t xml:space="preserve">Load bands are user inputs based on capacity, operating philosophy and historical data; for a 100 TPH boiler, </w:t>
      </w:r>
      <w:proofErr w:type="gramStart"/>
      <w:r>
        <w:t>example</w:t>
      </w:r>
      <w:proofErr w:type="gramEnd"/>
      <w:r>
        <w:t xml:space="preserve"> bands may be 90-100, 75-90, 60-75 and 40-60 </w:t>
      </w:r>
      <w:proofErr w:type="gramStart"/>
      <w:r>
        <w:t>TPH.</w:t>
      </w:r>
      <w:r w:rsidR="005639B7">
        <w:t>(</w:t>
      </w:r>
      <w:proofErr w:type="gramEnd"/>
      <w:r w:rsidR="005639B7">
        <w:t xml:space="preserve">Refer </w:t>
      </w:r>
      <w:r w:rsidR="00D6281D">
        <w:t>Cluster 1)</w:t>
      </w:r>
    </w:p>
    <w:p w14:paraId="7DDC2CC6" w14:textId="77777777" w:rsidR="001146F0" w:rsidRDefault="008D79AC">
      <w:pPr>
        <w:pStyle w:val="ListBullet"/>
      </w:pPr>
      <w:r>
        <w:t>If the steam-flow reference is unreliable, validate it using Cluster 1 before scoring PA-header performance.</w:t>
      </w:r>
    </w:p>
    <w:p w14:paraId="02AEB493" w14:textId="77777777" w:rsidR="001146F0" w:rsidRDefault="008D79AC">
      <w:pPr>
        <w:pStyle w:val="Heading2"/>
      </w:pPr>
      <w:r>
        <w:t>Total PA Flow and Branch-Flow Relationship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9"/>
      </w:tblGrid>
      <w:tr w:rsidR="001146F0" w14:paraId="0021334C" w14:textId="77777777">
        <w:trPr>
          <w:jc w:val="center"/>
        </w:trPr>
        <w:tc>
          <w:tcPr>
            <w:tcW w:w="10009" w:type="dxa"/>
            <w:shd w:val="clear" w:color="auto" w:fill="EEF4F8"/>
            <w:tcMar>
              <w:top w:w="95" w:type="dxa"/>
              <w:left w:w="150" w:type="dxa"/>
              <w:bottom w:w="95" w:type="dxa"/>
              <w:right w:w="150" w:type="dxa"/>
            </w:tcMar>
          </w:tcPr>
          <w:p w14:paraId="4C47FC1A" w14:textId="77777777" w:rsidR="001146F0" w:rsidRDefault="008D79AC">
            <w:pPr>
              <w:jc w:val="center"/>
              <w:rPr>
                <w:rFonts w:ascii="Cambria Math" w:hAnsi="Cambria Math"/>
                <w:b/>
                <w:sz w:val="18"/>
              </w:rPr>
            </w:pPr>
            <w:r>
              <w:rPr>
                <w:rFonts w:ascii="Cambria Math" w:hAnsi="Cambria Math"/>
                <w:b/>
                <w:sz w:val="18"/>
              </w:rPr>
              <w:t>Expected Total PA Flow = f (Steam Flow or Load, PA Fan Configuration)</w:t>
            </w:r>
            <w:r>
              <w:rPr>
                <w:rFonts w:ascii="Cambria Math" w:hAnsi="Cambria Math"/>
                <w:b/>
                <w:sz w:val="18"/>
              </w:rPr>
              <w:br/>
              <w:t>Expected HGG Branch Flow = f (</w:t>
            </w:r>
            <w:r w:rsidR="00423D74">
              <w:rPr>
                <w:rFonts w:ascii="Cambria Math" w:hAnsi="Cambria Math"/>
                <w:b/>
                <w:sz w:val="18"/>
              </w:rPr>
              <w:t xml:space="preserve">Oil Flow in Branch, Coal </w:t>
            </w:r>
            <w:proofErr w:type="spellStart"/>
            <w:proofErr w:type="gramStart"/>
            <w:r w:rsidR="00423D74">
              <w:rPr>
                <w:rFonts w:ascii="Cambria Math" w:hAnsi="Cambria Math"/>
                <w:b/>
                <w:sz w:val="18"/>
              </w:rPr>
              <w:t>Flow,</w:t>
            </w:r>
            <w:r>
              <w:rPr>
                <w:rFonts w:ascii="Cambria Math" w:hAnsi="Cambria Math"/>
                <w:b/>
                <w:sz w:val="18"/>
              </w:rPr>
              <w:t>Total</w:t>
            </w:r>
            <w:proofErr w:type="spellEnd"/>
            <w:proofErr w:type="gramEnd"/>
            <w:r>
              <w:rPr>
                <w:rFonts w:ascii="Cambria Math" w:hAnsi="Cambria Math"/>
                <w:b/>
                <w:sz w:val="18"/>
              </w:rPr>
              <w:t xml:space="preserve"> PA Flow, Branch / Damper Configuration)</w:t>
            </w:r>
          </w:p>
          <w:p w14:paraId="03521CA2" w14:textId="6F0CD0D6" w:rsidR="00C42E09" w:rsidRPr="00E44287" w:rsidRDefault="00C42E09">
            <w:pPr>
              <w:jc w:val="center"/>
              <w:rPr>
                <w:b/>
                <w:bCs/>
              </w:rPr>
            </w:pPr>
            <w:r w:rsidRPr="00E44287">
              <w:rPr>
                <w:b/>
                <w:bCs/>
              </w:rPr>
              <w:t>Total HGG F</w:t>
            </w:r>
            <w:r w:rsidR="00E23F27" w:rsidRPr="00E44287">
              <w:rPr>
                <w:b/>
                <w:bCs/>
              </w:rPr>
              <w:t xml:space="preserve">low/PA </w:t>
            </w:r>
            <w:r w:rsidR="00721057" w:rsidRPr="00E44287">
              <w:rPr>
                <w:b/>
                <w:bCs/>
              </w:rPr>
              <w:t>Flow Ratio=</w:t>
            </w:r>
            <w:proofErr w:type="gramStart"/>
            <w:r w:rsidR="00721057" w:rsidRPr="00E44287">
              <w:rPr>
                <w:b/>
                <w:bCs/>
              </w:rPr>
              <w:t>f(</w:t>
            </w:r>
            <w:proofErr w:type="gramEnd"/>
            <w:r w:rsidR="00721057" w:rsidRPr="00E44287">
              <w:rPr>
                <w:b/>
                <w:bCs/>
              </w:rPr>
              <w:t>Steam Fl</w:t>
            </w:r>
            <w:r w:rsidR="00E44287" w:rsidRPr="00E44287">
              <w:rPr>
                <w:b/>
                <w:bCs/>
              </w:rPr>
              <w:t>ow/ PA Flow)</w:t>
            </w:r>
          </w:p>
        </w:tc>
      </w:tr>
    </w:tbl>
    <w:p w14:paraId="14B996D1" w14:textId="5206E5C3" w:rsidR="001146F0" w:rsidRDefault="008D79AC">
      <w:r>
        <w:t>The sum of available branch flows may be compared with Total PA Flow. The result should be treated as a calibrated historical balance, not an assumed exact equality.</w:t>
      </w:r>
    </w:p>
    <w:p w14:paraId="2EDB8238" w14:textId="77777777" w:rsidR="001146F0" w:rsidRDefault="001146F0">
      <w:pPr>
        <w:pageBreakBefore/>
      </w:pPr>
    </w:p>
    <w:p w14:paraId="361F7282" w14:textId="77777777" w:rsidR="001146F0" w:rsidRDefault="008D79AC">
      <w:pPr>
        <w:pStyle w:val="Heading1"/>
      </w:pPr>
      <w:r>
        <w:t>Training Relationships and Performance Indicators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9"/>
        <w:gridCol w:w="3715"/>
        <w:gridCol w:w="4235"/>
        <w:gridCol w:w="117"/>
      </w:tblGrid>
      <w:tr w:rsidR="001146F0" w14:paraId="27D587D2" w14:textId="77777777">
        <w:trPr>
          <w:tblHeader/>
          <w:jc w:val="center"/>
        </w:trPr>
        <w:tc>
          <w:tcPr>
            <w:tcW w:w="2059" w:type="dxa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78B685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5"/>
              </w:rPr>
              <w:t>Relationship</w:t>
            </w:r>
          </w:p>
        </w:tc>
        <w:tc>
          <w:tcPr>
            <w:tcW w:w="3715" w:type="dxa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FF0F98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5"/>
              </w:rPr>
              <w:t>Expected operating pattern</w:t>
            </w:r>
          </w:p>
        </w:tc>
        <w:tc>
          <w:tcPr>
            <w:tcW w:w="3730" w:type="dxa"/>
            <w:gridSpan w:val="2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05F6B0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5"/>
              </w:rPr>
              <w:t>Condition to be flagged</w:t>
            </w:r>
          </w:p>
        </w:tc>
      </w:tr>
      <w:tr w:rsidR="001146F0" w14:paraId="16531792" w14:textId="77777777">
        <w:trPr>
          <w:jc w:val="center"/>
        </w:trPr>
        <w:tc>
          <w:tcPr>
            <w:tcW w:w="2059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45C83A83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Steam flow vs Total PA Flow</w:t>
            </w:r>
          </w:p>
        </w:tc>
        <w:tc>
          <w:tcPr>
            <w:tcW w:w="3715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2D798869" w14:textId="77777777" w:rsidR="001146F0" w:rsidRDefault="008D79AC">
            <w:pPr>
              <w:spacing w:after="0"/>
            </w:pPr>
            <w:r>
              <w:rPr>
                <w:sz w:val="14"/>
              </w:rPr>
              <w:t>Repeatable PA-flow envelope in each load band.</w:t>
            </w:r>
          </w:p>
        </w:tc>
        <w:tc>
          <w:tcPr>
            <w:tcW w:w="3730" w:type="dxa"/>
            <w:gridSpan w:val="2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2A72EF4D" w14:textId="77777777" w:rsidR="001146F0" w:rsidRDefault="008D79AC">
            <w:pPr>
              <w:spacing w:after="0"/>
            </w:pPr>
            <w:r>
              <w:rPr>
                <w:sz w:val="14"/>
              </w:rPr>
              <w:t>Total PA Flow is outside the accepted demand-based range.</w:t>
            </w:r>
          </w:p>
        </w:tc>
      </w:tr>
      <w:tr w:rsidR="001146F0" w14:paraId="4B52EDA4" w14:textId="77777777">
        <w:trPr>
          <w:jc w:val="center"/>
        </w:trPr>
        <w:tc>
          <w:tcPr>
            <w:tcW w:w="2059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CBBF12B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Total PA vs HGG branches</w:t>
            </w:r>
          </w:p>
        </w:tc>
        <w:tc>
          <w:tcPr>
            <w:tcW w:w="3715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211FA9C8" w14:textId="77777777" w:rsidR="001146F0" w:rsidRDefault="008D79AC">
            <w:pPr>
              <w:spacing w:after="0"/>
            </w:pPr>
            <w:r>
              <w:rPr>
                <w:sz w:val="14"/>
              </w:rPr>
              <w:t>Stable branch share for a comparable configuration.</w:t>
            </w:r>
          </w:p>
        </w:tc>
        <w:tc>
          <w:tcPr>
            <w:tcW w:w="3730" w:type="dxa"/>
            <w:gridSpan w:val="2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56C1291C" w14:textId="77777777" w:rsidR="001146F0" w:rsidRDefault="008D79AC">
            <w:pPr>
              <w:spacing w:after="0"/>
            </w:pPr>
            <w:r>
              <w:rPr>
                <w:sz w:val="14"/>
              </w:rPr>
              <w:t>Branch contribution changes without a known operating change.</w:t>
            </w:r>
          </w:p>
        </w:tc>
      </w:tr>
      <w:tr w:rsidR="001146F0" w14:paraId="3D9D6B8B" w14:textId="77777777">
        <w:trPr>
          <w:jc w:val="center"/>
        </w:trPr>
        <w:tc>
          <w:tcPr>
            <w:tcW w:w="2059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47737795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 xml:space="preserve">HGG </w:t>
            </w:r>
            <w:proofErr w:type="gramStart"/>
            <w:r>
              <w:rPr>
                <w:b/>
                <w:color w:val="1F4E79"/>
                <w:sz w:val="14"/>
              </w:rPr>
              <w:t>A(</w:t>
            </w:r>
            <w:proofErr w:type="gramEnd"/>
            <w:r>
              <w:rPr>
                <w:b/>
                <w:color w:val="1F4E79"/>
                <w:sz w:val="14"/>
              </w:rPr>
              <w:t xml:space="preserve">1) vs </w:t>
            </w:r>
            <w:proofErr w:type="gramStart"/>
            <w:r>
              <w:rPr>
                <w:b/>
                <w:color w:val="1F4E79"/>
                <w:sz w:val="14"/>
              </w:rPr>
              <w:t>A(</w:t>
            </w:r>
            <w:proofErr w:type="gramEnd"/>
            <w:r>
              <w:rPr>
                <w:b/>
                <w:color w:val="1F4E79"/>
                <w:sz w:val="14"/>
              </w:rPr>
              <w:t>2)</w:t>
            </w:r>
          </w:p>
        </w:tc>
        <w:tc>
          <w:tcPr>
            <w:tcW w:w="3715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3BF6227" w14:textId="6011D21A" w:rsidR="001146F0" w:rsidRDefault="00917DE3">
            <w:pPr>
              <w:spacing w:after="0"/>
            </w:pPr>
            <w:r>
              <w:rPr>
                <w:sz w:val="14"/>
              </w:rPr>
              <w:t>T</w:t>
            </w:r>
            <w:r w:rsidR="008D79AC">
              <w:rPr>
                <w:sz w:val="14"/>
              </w:rPr>
              <w:t>rack within an approved tolerance.</w:t>
            </w:r>
          </w:p>
        </w:tc>
        <w:tc>
          <w:tcPr>
            <w:tcW w:w="3730" w:type="dxa"/>
            <w:gridSpan w:val="2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50252F89" w14:textId="77777777" w:rsidR="001146F0" w:rsidRDefault="008D79AC">
            <w:pPr>
              <w:spacing w:after="0"/>
            </w:pPr>
            <w:r>
              <w:rPr>
                <w:sz w:val="14"/>
              </w:rPr>
              <w:t>Persistent disagreement beyond the user-defined limit.</w:t>
            </w:r>
          </w:p>
        </w:tc>
      </w:tr>
      <w:tr w:rsidR="001146F0" w14:paraId="27457A69" w14:textId="77777777">
        <w:trPr>
          <w:jc w:val="center"/>
        </w:trPr>
        <w:tc>
          <w:tcPr>
            <w:tcW w:w="2059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5B3385FE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 xml:space="preserve">HGG </w:t>
            </w:r>
            <w:proofErr w:type="gramStart"/>
            <w:r>
              <w:rPr>
                <w:b/>
                <w:color w:val="1F4E79"/>
                <w:sz w:val="14"/>
              </w:rPr>
              <w:t>B(</w:t>
            </w:r>
            <w:proofErr w:type="gramEnd"/>
            <w:r>
              <w:rPr>
                <w:b/>
                <w:color w:val="1F4E79"/>
                <w:sz w:val="14"/>
              </w:rPr>
              <w:t xml:space="preserve">1) vs </w:t>
            </w:r>
            <w:proofErr w:type="gramStart"/>
            <w:r>
              <w:rPr>
                <w:b/>
                <w:color w:val="1F4E79"/>
                <w:sz w:val="14"/>
              </w:rPr>
              <w:t>B(</w:t>
            </w:r>
            <w:proofErr w:type="gramEnd"/>
            <w:r>
              <w:rPr>
                <w:b/>
                <w:color w:val="1F4E79"/>
                <w:sz w:val="14"/>
              </w:rPr>
              <w:t>2)</w:t>
            </w:r>
          </w:p>
        </w:tc>
        <w:tc>
          <w:tcPr>
            <w:tcW w:w="3715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62A83A96" w14:textId="1A3E89D6" w:rsidR="001146F0" w:rsidRDefault="005C2CF1">
            <w:pPr>
              <w:spacing w:after="0"/>
            </w:pPr>
            <w:r>
              <w:rPr>
                <w:sz w:val="14"/>
              </w:rPr>
              <w:t>T</w:t>
            </w:r>
            <w:r w:rsidR="008D79AC">
              <w:rPr>
                <w:sz w:val="14"/>
              </w:rPr>
              <w:t>rack within an approved tolerance.</w:t>
            </w:r>
          </w:p>
        </w:tc>
        <w:tc>
          <w:tcPr>
            <w:tcW w:w="3730" w:type="dxa"/>
            <w:gridSpan w:val="2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6ADC7A1C" w14:textId="77777777" w:rsidR="001146F0" w:rsidRDefault="008D79AC">
            <w:pPr>
              <w:spacing w:after="0"/>
            </w:pPr>
            <w:r>
              <w:rPr>
                <w:sz w:val="14"/>
              </w:rPr>
              <w:t>Persistent disagreement beyond the user-defined limit.</w:t>
            </w:r>
          </w:p>
        </w:tc>
      </w:tr>
      <w:tr w:rsidR="001146F0" w14:paraId="7960BD66" w14:textId="77777777">
        <w:trPr>
          <w:jc w:val="center"/>
        </w:trPr>
        <w:tc>
          <w:tcPr>
            <w:tcW w:w="2059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2F75D9E6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A-side vs B-side flow</w:t>
            </w:r>
          </w:p>
        </w:tc>
        <w:tc>
          <w:tcPr>
            <w:tcW w:w="3715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57351888" w14:textId="77777777" w:rsidR="001146F0" w:rsidRDefault="008D79AC">
            <w:pPr>
              <w:spacing w:after="0"/>
            </w:pPr>
            <w:r>
              <w:rPr>
                <w:sz w:val="14"/>
              </w:rPr>
              <w:t>Historically consistent distribution at comparable duty.</w:t>
            </w:r>
          </w:p>
        </w:tc>
        <w:tc>
          <w:tcPr>
            <w:tcW w:w="3730" w:type="dxa"/>
            <w:gridSpan w:val="2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2AFAFA4A" w14:textId="41E50575" w:rsidR="001146F0" w:rsidRDefault="008D79AC">
            <w:pPr>
              <w:spacing w:after="0"/>
            </w:pPr>
            <w:r>
              <w:rPr>
                <w:sz w:val="14"/>
              </w:rPr>
              <w:t xml:space="preserve">Developing side </w:t>
            </w:r>
            <w:r w:rsidR="003D5CF6">
              <w:rPr>
                <w:sz w:val="14"/>
              </w:rPr>
              <w:t>imbalance.</w:t>
            </w:r>
          </w:p>
        </w:tc>
      </w:tr>
      <w:tr w:rsidR="001146F0" w14:paraId="49F6656D" w14:textId="77777777">
        <w:trPr>
          <w:jc w:val="center"/>
        </w:trPr>
        <w:tc>
          <w:tcPr>
            <w:tcW w:w="2059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F4EEE10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PA fan output vs Total PA</w:t>
            </w:r>
          </w:p>
        </w:tc>
        <w:tc>
          <w:tcPr>
            <w:tcW w:w="3715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620FA6F7" w14:textId="77777777" w:rsidR="001146F0" w:rsidRDefault="008D79AC">
            <w:pPr>
              <w:spacing w:after="0"/>
            </w:pPr>
            <w:r>
              <w:rPr>
                <w:sz w:val="14"/>
              </w:rPr>
              <w:t>Normal flow for the applicable fan combination.</w:t>
            </w:r>
          </w:p>
        </w:tc>
        <w:tc>
          <w:tcPr>
            <w:tcW w:w="3730" w:type="dxa"/>
            <w:gridSpan w:val="2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D8532B1" w14:textId="77777777" w:rsidR="001146F0" w:rsidRDefault="008D79AC">
            <w:pPr>
              <w:spacing w:after="0"/>
            </w:pPr>
            <w:r>
              <w:rPr>
                <w:sz w:val="14"/>
              </w:rPr>
              <w:t>Fan effort and header flow become inconsistent.</w:t>
            </w:r>
          </w:p>
        </w:tc>
      </w:tr>
      <w:tr w:rsidR="001146F0" w14:paraId="1E78E8B8" w14:textId="77777777">
        <w:trPr>
          <w:gridAfter w:val="1"/>
          <w:wAfter w:w="117" w:type="dxa"/>
          <w:jc w:val="center"/>
        </w:trPr>
        <w:tc>
          <w:tcPr>
            <w:tcW w:w="10009" w:type="dxa"/>
            <w:gridSpan w:val="3"/>
            <w:shd w:val="clear" w:color="auto" w:fill="EEF4F8"/>
            <w:tcMar>
              <w:top w:w="95" w:type="dxa"/>
              <w:left w:w="150" w:type="dxa"/>
              <w:bottom w:w="95" w:type="dxa"/>
              <w:right w:w="150" w:type="dxa"/>
            </w:tcMar>
          </w:tcPr>
          <w:p w14:paraId="0C9DD820" w14:textId="77777777" w:rsidR="001146F0" w:rsidRDefault="008D79AC">
            <w:pPr>
              <w:jc w:val="center"/>
            </w:pPr>
            <w:r>
              <w:rPr>
                <w:rFonts w:ascii="Cambria Math" w:hAnsi="Cambria Math"/>
                <w:b/>
                <w:sz w:val="18"/>
              </w:rPr>
              <w:t>PA Flow Residual = Actual Total PA Flow - Predicted Total PA Flow</w:t>
            </w:r>
            <w:r>
              <w:rPr>
                <w:rFonts w:ascii="Cambria Math" w:hAnsi="Cambria Math"/>
                <w:b/>
                <w:sz w:val="18"/>
              </w:rPr>
              <w:br/>
              <w:t>PA Flow Deviation (%) = PA Flow Residual / Predicted Total PA Flow x 100</w:t>
            </w:r>
            <w:r>
              <w:rPr>
                <w:rFonts w:ascii="Cambria Math" w:hAnsi="Cambria Math"/>
                <w:b/>
                <w:sz w:val="18"/>
              </w:rPr>
              <w:br/>
              <w:t>Redundant Meter Deviation (%) = (Reading-1 - Reading-2) / [(Reading-1 + Reading-2) / 2] x 100</w:t>
            </w:r>
          </w:p>
        </w:tc>
      </w:tr>
    </w:tbl>
    <w:p w14:paraId="1F848AF3" w14:textId="77777777" w:rsidR="001146F0" w:rsidRDefault="008D79AC">
      <w:r>
        <w:t>User-defined residual and meter-deviation limits should be established separately for each load band and fan/branch configuration. Incoming values are accepted when the residual remains within the approved range; otherwise, the model flags the deviation for validation.</w:t>
      </w:r>
    </w:p>
    <w:p w14:paraId="407A20E9" w14:textId="476C58E5" w:rsidR="004F54D6" w:rsidRDefault="00707889">
      <w:r>
        <w:t xml:space="preserve">As HGG </w:t>
      </w:r>
      <w:r w:rsidR="00466498">
        <w:t xml:space="preserve">configuration is not </w:t>
      </w:r>
      <w:r w:rsidR="000B551F">
        <w:t>standard,</w:t>
      </w:r>
      <w:r w:rsidR="00466498">
        <w:t xml:space="preserve"> Plant specific adjustments will be required.</w:t>
      </w:r>
    </w:p>
    <w:p w14:paraId="3AD35748" w14:textId="77777777" w:rsidR="001146F0" w:rsidRDefault="008D79AC">
      <w:pPr>
        <w:pStyle w:val="Heading2"/>
      </w:pPr>
      <w:r>
        <w:t>Branch Distribution Indicators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9"/>
      </w:tblGrid>
      <w:tr w:rsidR="001146F0" w14:paraId="141FFA15" w14:textId="77777777">
        <w:trPr>
          <w:jc w:val="center"/>
        </w:trPr>
        <w:tc>
          <w:tcPr>
            <w:tcW w:w="10009" w:type="dxa"/>
            <w:shd w:val="clear" w:color="auto" w:fill="EEF4F8"/>
            <w:tcMar>
              <w:top w:w="95" w:type="dxa"/>
              <w:left w:w="150" w:type="dxa"/>
              <w:bottom w:w="95" w:type="dxa"/>
              <w:right w:w="150" w:type="dxa"/>
            </w:tcMar>
          </w:tcPr>
          <w:p w14:paraId="58C8382D" w14:textId="77777777" w:rsidR="001146F0" w:rsidRDefault="008D79AC">
            <w:pPr>
              <w:jc w:val="center"/>
            </w:pPr>
            <w:r>
              <w:rPr>
                <w:rFonts w:ascii="Cambria Math" w:hAnsi="Cambria Math"/>
                <w:b/>
                <w:sz w:val="18"/>
              </w:rPr>
              <w:t>HGG-A Flow = validated combination of HGG-A (1) and HGG-A (2)</w:t>
            </w:r>
            <w:r>
              <w:rPr>
                <w:rFonts w:ascii="Cambria Math" w:hAnsi="Cambria Math"/>
                <w:b/>
                <w:sz w:val="18"/>
              </w:rPr>
              <w:br/>
              <w:t>HGG-B Flow = validated combination of HGG-B (1) and HGG-B (2)</w:t>
            </w:r>
            <w:r>
              <w:rPr>
                <w:rFonts w:ascii="Cambria Math" w:hAnsi="Cambria Math"/>
                <w:b/>
                <w:sz w:val="18"/>
              </w:rPr>
              <w:br/>
              <w:t>A/B Distribution Deviation (%) = (HGG-A Flow - HGG-B Flow) / [(HGG-A Flow + HGG-B Flow) / 2] x 100</w:t>
            </w:r>
          </w:p>
        </w:tc>
      </w:tr>
    </w:tbl>
    <w:p w14:paraId="29C9A20A" w14:textId="6B61CADF" w:rsidR="001146F0" w:rsidRDefault="008D79AC">
      <w:r>
        <w:t>The combination method may be an average for series measurements or a sum for parallel branches. The correct method must be confirmed from P&amp;ID/DCS documentation. Equal A/B distribution should not be assumed; the accepted baseline should be developed from healthy historical operation.</w:t>
      </w:r>
    </w:p>
    <w:p w14:paraId="375A2C21" w14:textId="77777777" w:rsidR="001146F0" w:rsidRDefault="008D79AC">
      <w:pPr>
        <w:pStyle w:val="Heading1"/>
      </w:pPr>
      <w:r>
        <w:t>Preparation for Training Data</w:t>
      </w:r>
    </w:p>
    <w:p w14:paraId="195BC74E" w14:textId="77777777" w:rsidR="001146F0" w:rsidRDefault="008D79AC" w:rsidP="0053040B">
      <w:pPr>
        <w:pStyle w:val="ListBullet"/>
        <w:numPr>
          <w:ilvl w:val="0"/>
          <w:numId w:val="0"/>
        </w:numPr>
        <w:ind w:left="360"/>
      </w:pPr>
      <w:r>
        <w:t>Synchronize steam flow, Total PA Flow and all HGG branch-flow tags to a common timestamp and sampling interval.</w:t>
      </w:r>
    </w:p>
    <w:p w14:paraId="70F9C297" w14:textId="77777777" w:rsidR="001146F0" w:rsidRDefault="008D79AC" w:rsidP="0053040B">
      <w:pPr>
        <w:pStyle w:val="ListBullet"/>
        <w:numPr>
          <w:ilvl w:val="0"/>
          <w:numId w:val="0"/>
        </w:numPr>
        <w:ind w:left="360"/>
      </w:pPr>
      <w:r>
        <w:t>Classify PA fan configuration, branch/damper configuration, start/stop, changeover and manual/automatic operation.</w:t>
      </w:r>
    </w:p>
    <w:p w14:paraId="38AB1118" w14:textId="4897DE30" w:rsidR="001146F0" w:rsidRDefault="00147C4D" w:rsidP="0053040B">
      <w:pPr>
        <w:pStyle w:val="ListBullet"/>
        <w:numPr>
          <w:ilvl w:val="0"/>
          <w:numId w:val="0"/>
        </w:numPr>
        <w:ind w:left="360"/>
      </w:pPr>
      <w:r>
        <w:t xml:space="preserve">HGG is normally used </w:t>
      </w:r>
      <w:r w:rsidR="00B0711E">
        <w:t xml:space="preserve">during start up and low load so </w:t>
      </w:r>
      <w:r w:rsidR="0090728A">
        <w:t xml:space="preserve">data availability may be limited. With limited data it </w:t>
      </w:r>
      <w:r w:rsidR="00151B14">
        <w:t>may be a challenge to develop a reliable model.</w:t>
      </w:r>
    </w:p>
    <w:p w14:paraId="15BB9179" w14:textId="77777777" w:rsidR="001146F0" w:rsidRDefault="008D79AC" w:rsidP="0053040B">
      <w:pPr>
        <w:pStyle w:val="ListBullet"/>
        <w:numPr>
          <w:ilvl w:val="0"/>
          <w:numId w:val="0"/>
        </w:numPr>
        <w:ind w:left="360"/>
      </w:pPr>
      <w:r>
        <w:t>Exclude bad-quality, frozen, missing, impossible, maintenance-affected and known instrument-fault measurements. Long gaps should preferably not be interpolated.</w:t>
      </w:r>
    </w:p>
    <w:p w14:paraId="45ECA3B5" w14:textId="51A10408" w:rsidR="001146F0" w:rsidRDefault="008D79AC" w:rsidP="0053040B">
      <w:pPr>
        <w:pStyle w:val="ListBullet"/>
        <w:numPr>
          <w:ilvl w:val="0"/>
          <w:numId w:val="0"/>
        </w:numPr>
        <w:ind w:left="360"/>
      </w:pPr>
      <w:r>
        <w:t xml:space="preserve">Retain valid changes caused by fuel, bed and control </w:t>
      </w:r>
      <w:r w:rsidR="00C6437D">
        <w:t>behavior</w:t>
      </w:r>
      <w:r>
        <w:t>; remove only technically invalid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9"/>
      </w:tblGrid>
      <w:tr w:rsidR="001146F0" w14:paraId="1EF5F213" w14:textId="77777777">
        <w:trPr>
          <w:jc w:val="center"/>
        </w:trPr>
        <w:tc>
          <w:tcPr>
            <w:tcW w:w="10009" w:type="dxa"/>
            <w:shd w:val="clear" w:color="auto" w:fill="FFF2CC"/>
            <w:tcMar>
              <w:top w:w="105" w:type="dxa"/>
              <w:left w:w="145" w:type="dxa"/>
              <w:bottom w:w="105" w:type="dxa"/>
              <w:right w:w="145" w:type="dxa"/>
            </w:tcMar>
          </w:tcPr>
          <w:p w14:paraId="22512B46" w14:textId="42E23A5B" w:rsidR="001146F0" w:rsidRDefault="008D79AC">
            <w:r>
              <w:rPr>
                <w:b/>
                <w:color w:val="9C6500"/>
              </w:rPr>
              <w:t xml:space="preserve">Important: </w:t>
            </w:r>
            <w:r w:rsidR="00C8677F">
              <w:t xml:space="preserve">Model should mainly </w:t>
            </w:r>
            <w:r w:rsidR="00DD270D">
              <w:t>be for</w:t>
            </w:r>
            <w:r w:rsidR="00C8677F">
              <w:t xml:space="preserve"> </w:t>
            </w:r>
            <w:r w:rsidR="00DD270D">
              <w:t>Startup</w:t>
            </w:r>
            <w:r w:rsidR="00C8677F">
              <w:t xml:space="preserve"> and Low </w:t>
            </w:r>
            <w:r w:rsidR="00FB76CA">
              <w:t>Load. If</w:t>
            </w:r>
            <w:r w:rsidR="00C8677F">
              <w:t xml:space="preserve"> </w:t>
            </w:r>
            <w:r w:rsidR="00FB76CA">
              <w:t xml:space="preserve">HGG is used at slightly higher load </w:t>
            </w:r>
            <w:r w:rsidR="00DD270D">
              <w:t>it should be investigated further.</w:t>
            </w:r>
          </w:p>
        </w:tc>
      </w:tr>
    </w:tbl>
    <w:p w14:paraId="5C548DFB" w14:textId="77777777" w:rsidR="001146F0" w:rsidRDefault="008D79AC">
      <w:pPr>
        <w:pStyle w:val="Heading1"/>
      </w:pPr>
      <w:r>
        <w:t>Data Validation Framework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272"/>
      </w:tblGrid>
      <w:tr w:rsidR="001146F0" w14:paraId="4D29035E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D7B02C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5"/>
              </w:rPr>
              <w:t>Validation layer</w:t>
            </w:r>
          </w:p>
        </w:tc>
        <w:tc>
          <w:tcPr>
            <w:tcW w:w="7272" w:type="dxa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8E6798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5"/>
              </w:rPr>
              <w:t>Minimum checks</w:t>
            </w:r>
          </w:p>
        </w:tc>
      </w:tr>
      <w:tr w:rsidR="001146F0" w14:paraId="0F2ED860" w14:textId="77777777">
        <w:trPr>
          <w:jc w:val="center"/>
        </w:trPr>
        <w:tc>
          <w:tcPr>
            <w:tcW w:w="2232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972FC20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5"/>
              </w:rPr>
              <w:t>Tag level</w:t>
            </w:r>
          </w:p>
        </w:tc>
        <w:tc>
          <w:tcPr>
            <w:tcW w:w="7272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B3F1C56" w14:textId="77777777" w:rsidR="001146F0" w:rsidRDefault="008D79AC">
            <w:pPr>
              <w:spacing w:after="0"/>
            </w:pPr>
            <w:r>
              <w:rPr>
                <w:sz w:val="15"/>
              </w:rPr>
              <w:t>Missing data, frozen values, spikes, noise, impossible values, scaling and engineering-unit errors.</w:t>
            </w:r>
          </w:p>
        </w:tc>
      </w:tr>
      <w:tr w:rsidR="001146F0" w14:paraId="619E8451" w14:textId="77777777">
        <w:trPr>
          <w:jc w:val="center"/>
        </w:trPr>
        <w:tc>
          <w:tcPr>
            <w:tcW w:w="2232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446C708E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5"/>
              </w:rPr>
              <w:t>Relationship level</w:t>
            </w:r>
          </w:p>
        </w:tc>
        <w:tc>
          <w:tcPr>
            <w:tcW w:w="7272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F26E150" w14:textId="12334C3E" w:rsidR="001146F0" w:rsidRDefault="008D79AC">
            <w:pPr>
              <w:spacing w:after="0"/>
            </w:pPr>
            <w:r>
              <w:rPr>
                <w:sz w:val="15"/>
              </w:rPr>
              <w:t xml:space="preserve">Steam flow-Total PA, Total PA-branch flow, A/B </w:t>
            </w:r>
            <w:r w:rsidR="00B501AC">
              <w:rPr>
                <w:sz w:val="15"/>
              </w:rPr>
              <w:t>distribution.</w:t>
            </w:r>
          </w:p>
        </w:tc>
      </w:tr>
    </w:tbl>
    <w:p w14:paraId="415A185A" w14:textId="77777777" w:rsidR="001146F0" w:rsidRDefault="001146F0">
      <w:pPr>
        <w:pageBreakBefore/>
      </w:pPr>
    </w:p>
    <w:p w14:paraId="3864FAC1" w14:textId="77777777" w:rsidR="001146F0" w:rsidRDefault="008D79AC">
      <w:pPr>
        <w:pStyle w:val="Heading1"/>
      </w:pPr>
      <w:r>
        <w:t>Performance Checking</w:t>
      </w:r>
    </w:p>
    <w:p w14:paraId="14F49196" w14:textId="5500A982" w:rsidR="001146F0" w:rsidRDefault="008D79AC">
      <w:r>
        <w:t>The deployed model should calculate expected Total PA Flow and expected branch-flow ranges for the applicable demand band and configuration. Performance is assessed using residual magnitude, persistence, data quality and cross-cluster consistency.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571"/>
        <w:gridCol w:w="4206"/>
        <w:gridCol w:w="117"/>
      </w:tblGrid>
      <w:tr w:rsidR="001146F0" w14:paraId="63B9D6BE" w14:textId="77777777">
        <w:trPr>
          <w:gridAfter w:val="1"/>
          <w:wAfter w:w="117" w:type="dxa"/>
          <w:jc w:val="center"/>
        </w:trPr>
        <w:tc>
          <w:tcPr>
            <w:tcW w:w="10009" w:type="dxa"/>
            <w:gridSpan w:val="3"/>
            <w:shd w:val="clear" w:color="auto" w:fill="EEF4F8"/>
            <w:tcMar>
              <w:top w:w="95" w:type="dxa"/>
              <w:left w:w="150" w:type="dxa"/>
              <w:bottom w:w="95" w:type="dxa"/>
              <w:right w:w="150" w:type="dxa"/>
            </w:tcMar>
          </w:tcPr>
          <w:p w14:paraId="0581E84F" w14:textId="77777777" w:rsidR="001146F0" w:rsidRDefault="008D79AC">
            <w:pPr>
              <w:jc w:val="center"/>
            </w:pPr>
            <w:r>
              <w:rPr>
                <w:rFonts w:ascii="Cambria Math" w:hAnsi="Cambria Math"/>
                <w:b/>
                <w:sz w:val="18"/>
              </w:rPr>
              <w:t>Residual = Actual Value - Predicted Value</w:t>
            </w:r>
            <w:r>
              <w:rPr>
                <w:rFonts w:ascii="Cambria Math" w:hAnsi="Cambria Math"/>
                <w:b/>
                <w:sz w:val="18"/>
              </w:rPr>
              <w:br/>
              <w:t>Accept value when |Residual| is within the user-defined limit</w:t>
            </w:r>
            <w:r>
              <w:rPr>
                <w:rFonts w:ascii="Cambria Math" w:hAnsi="Cambria Math"/>
                <w:b/>
                <w:sz w:val="18"/>
              </w:rPr>
              <w:br/>
              <w:t>Flag deviation when the limit is exceeded for the approved persistence time</w:t>
            </w:r>
          </w:p>
        </w:tc>
      </w:tr>
      <w:tr w:rsidR="001146F0" w14:paraId="771211AF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703221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4"/>
              </w:rPr>
              <w:t>Observed pattern</w:t>
            </w:r>
          </w:p>
        </w:tc>
        <w:tc>
          <w:tcPr>
            <w:tcW w:w="3571" w:type="dxa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400689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4"/>
              </w:rPr>
              <w:t>Initial interpretation</w:t>
            </w:r>
          </w:p>
        </w:tc>
        <w:tc>
          <w:tcPr>
            <w:tcW w:w="3701" w:type="dxa"/>
            <w:gridSpan w:val="2"/>
            <w:shd w:val="clear" w:color="auto" w:fill="1F4E7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479B00" w14:textId="77777777" w:rsidR="001146F0" w:rsidRDefault="008D79AC">
            <w:pPr>
              <w:jc w:val="center"/>
            </w:pPr>
            <w:r>
              <w:rPr>
                <w:b/>
                <w:color w:val="FFFFFF"/>
                <w:sz w:val="14"/>
              </w:rPr>
              <w:t>Required validation</w:t>
            </w:r>
          </w:p>
        </w:tc>
      </w:tr>
      <w:tr w:rsidR="001146F0" w14:paraId="41189C19" w14:textId="77777777">
        <w:trPr>
          <w:jc w:val="center"/>
        </w:trPr>
        <w:tc>
          <w:tcPr>
            <w:tcW w:w="2232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B3D59BE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Total PA low for steam demand</w:t>
            </w:r>
          </w:p>
        </w:tc>
        <w:tc>
          <w:tcPr>
            <w:tcW w:w="3571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4BA8888B" w14:textId="77777777" w:rsidR="001146F0" w:rsidRDefault="008D79AC">
            <w:pPr>
              <w:spacing w:after="0"/>
            </w:pPr>
            <w:r>
              <w:rPr>
                <w:sz w:val="14"/>
              </w:rPr>
              <w:t>Insufficient header delivery or flow-measurement error.</w:t>
            </w:r>
          </w:p>
        </w:tc>
        <w:tc>
          <w:tcPr>
            <w:tcW w:w="3701" w:type="dxa"/>
            <w:gridSpan w:val="2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1B8B1105" w14:textId="77777777" w:rsidR="001146F0" w:rsidRDefault="008D79AC">
            <w:pPr>
              <w:spacing w:after="0"/>
            </w:pPr>
            <w:r>
              <w:rPr>
                <w:sz w:val="14"/>
              </w:rPr>
              <w:t>Check PA fan performance, fan configuration and Total PA meter quality.</w:t>
            </w:r>
          </w:p>
        </w:tc>
      </w:tr>
      <w:tr w:rsidR="001146F0" w14:paraId="719E3C43" w14:textId="77777777">
        <w:trPr>
          <w:jc w:val="center"/>
        </w:trPr>
        <w:tc>
          <w:tcPr>
            <w:tcW w:w="2232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68293628" w14:textId="525DF039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 xml:space="preserve">Total PA </w:t>
            </w:r>
            <w:r w:rsidR="00A6089D">
              <w:rPr>
                <w:b/>
                <w:color w:val="1F4E79"/>
                <w:sz w:val="14"/>
              </w:rPr>
              <w:t>Normal</w:t>
            </w:r>
            <w:r>
              <w:rPr>
                <w:b/>
                <w:color w:val="1F4E79"/>
                <w:sz w:val="14"/>
              </w:rPr>
              <w:t>; one HGG branch low</w:t>
            </w:r>
          </w:p>
        </w:tc>
        <w:tc>
          <w:tcPr>
            <w:tcW w:w="3571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100F9CE3" w14:textId="77777777" w:rsidR="001146F0" w:rsidRDefault="008D79AC">
            <w:pPr>
              <w:spacing w:after="0"/>
            </w:pPr>
            <w:r>
              <w:rPr>
                <w:sz w:val="14"/>
              </w:rPr>
              <w:t>Downstream distribution, damper/duct restriction or branch-meter issue.</w:t>
            </w:r>
          </w:p>
        </w:tc>
        <w:tc>
          <w:tcPr>
            <w:tcW w:w="3701" w:type="dxa"/>
            <w:gridSpan w:val="2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420269B6" w14:textId="77777777" w:rsidR="001146F0" w:rsidRDefault="008D79AC">
            <w:pPr>
              <w:spacing w:after="0"/>
            </w:pPr>
            <w:r>
              <w:rPr>
                <w:sz w:val="14"/>
              </w:rPr>
              <w:t>Compare redundant branch meters and air-box/distribution data.</w:t>
            </w:r>
          </w:p>
        </w:tc>
      </w:tr>
      <w:tr w:rsidR="001146F0" w14:paraId="7D146AB1" w14:textId="77777777">
        <w:trPr>
          <w:jc w:val="center"/>
        </w:trPr>
        <w:tc>
          <w:tcPr>
            <w:tcW w:w="2232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5E7ACBAD" w14:textId="77777777" w:rsidR="001146F0" w:rsidRDefault="008D79AC">
            <w:pPr>
              <w:spacing w:after="0"/>
            </w:pPr>
            <w:proofErr w:type="gramStart"/>
            <w:r>
              <w:rPr>
                <w:b/>
                <w:color w:val="1F4E79"/>
                <w:sz w:val="14"/>
              </w:rPr>
              <w:t>A(</w:t>
            </w:r>
            <w:proofErr w:type="gramEnd"/>
            <w:r>
              <w:rPr>
                <w:b/>
                <w:color w:val="1F4E79"/>
                <w:sz w:val="14"/>
              </w:rPr>
              <w:t xml:space="preserve">1) and </w:t>
            </w:r>
            <w:proofErr w:type="gramStart"/>
            <w:r>
              <w:rPr>
                <w:b/>
                <w:color w:val="1F4E79"/>
                <w:sz w:val="14"/>
              </w:rPr>
              <w:t>A(</w:t>
            </w:r>
            <w:proofErr w:type="gramEnd"/>
            <w:r>
              <w:rPr>
                <w:b/>
                <w:color w:val="1F4E79"/>
                <w:sz w:val="14"/>
              </w:rPr>
              <w:t xml:space="preserve">2), or </w:t>
            </w:r>
            <w:proofErr w:type="gramStart"/>
            <w:r>
              <w:rPr>
                <w:b/>
                <w:color w:val="1F4E79"/>
                <w:sz w:val="14"/>
              </w:rPr>
              <w:t>B(</w:t>
            </w:r>
            <w:proofErr w:type="gramEnd"/>
            <w:r>
              <w:rPr>
                <w:b/>
                <w:color w:val="1F4E79"/>
                <w:sz w:val="14"/>
              </w:rPr>
              <w:t xml:space="preserve">1) and </w:t>
            </w:r>
            <w:proofErr w:type="gramStart"/>
            <w:r>
              <w:rPr>
                <w:b/>
                <w:color w:val="1F4E79"/>
                <w:sz w:val="14"/>
              </w:rPr>
              <w:t>B(</w:t>
            </w:r>
            <w:proofErr w:type="gramEnd"/>
            <w:r>
              <w:rPr>
                <w:b/>
                <w:color w:val="1F4E79"/>
                <w:sz w:val="14"/>
              </w:rPr>
              <w:t>2), disagree</w:t>
            </w:r>
          </w:p>
        </w:tc>
        <w:tc>
          <w:tcPr>
            <w:tcW w:w="3571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27E49712" w14:textId="6BD67FD9" w:rsidR="001146F0" w:rsidRDefault="00076D2C">
            <w:pPr>
              <w:spacing w:after="0"/>
            </w:pPr>
            <w:r>
              <w:rPr>
                <w:sz w:val="14"/>
              </w:rPr>
              <w:t>One flow</w:t>
            </w:r>
            <w:r w:rsidR="008D79AC">
              <w:rPr>
                <w:sz w:val="14"/>
              </w:rPr>
              <w:t xml:space="preserve"> measurement may be drifting.</w:t>
            </w:r>
          </w:p>
        </w:tc>
        <w:tc>
          <w:tcPr>
            <w:tcW w:w="3701" w:type="dxa"/>
            <w:gridSpan w:val="2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784649C" w14:textId="77777777" w:rsidR="001146F0" w:rsidRDefault="008D79AC">
            <w:pPr>
              <w:spacing w:after="0"/>
            </w:pPr>
            <w:r>
              <w:rPr>
                <w:sz w:val="14"/>
              </w:rPr>
              <w:t>Check calibration, impulse lines and measurement location.</w:t>
            </w:r>
          </w:p>
        </w:tc>
      </w:tr>
      <w:tr w:rsidR="001146F0" w14:paraId="7D013A44" w14:textId="77777777">
        <w:trPr>
          <w:jc w:val="center"/>
        </w:trPr>
        <w:tc>
          <w:tcPr>
            <w:tcW w:w="2232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134E0715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Total PA high for demand</w:t>
            </w:r>
          </w:p>
        </w:tc>
        <w:tc>
          <w:tcPr>
            <w:tcW w:w="3571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37270FE" w14:textId="77777777" w:rsidR="001146F0" w:rsidRDefault="008D79AC">
            <w:pPr>
              <w:spacing w:after="0"/>
            </w:pPr>
            <w:r>
              <w:rPr>
                <w:sz w:val="14"/>
              </w:rPr>
              <w:t>Excess PA delivery, control setting change or signal bias.</w:t>
            </w:r>
          </w:p>
        </w:tc>
        <w:tc>
          <w:tcPr>
            <w:tcW w:w="3701" w:type="dxa"/>
            <w:gridSpan w:val="2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48659B3C" w14:textId="77777777" w:rsidR="001146F0" w:rsidRDefault="008D79AC">
            <w:pPr>
              <w:spacing w:after="0"/>
            </w:pPr>
            <w:r>
              <w:rPr>
                <w:sz w:val="14"/>
              </w:rPr>
              <w:t>Check fan output, operating mode, fuel/bed condition and O2-related clusters.</w:t>
            </w:r>
          </w:p>
        </w:tc>
      </w:tr>
      <w:tr w:rsidR="001146F0" w14:paraId="5B4CD973" w14:textId="77777777">
        <w:trPr>
          <w:jc w:val="center"/>
        </w:trPr>
        <w:tc>
          <w:tcPr>
            <w:tcW w:w="2232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3252B01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A/B distribution shifts persistently</w:t>
            </w:r>
          </w:p>
        </w:tc>
        <w:tc>
          <w:tcPr>
            <w:tcW w:w="3571" w:type="dx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3EF9936" w14:textId="77777777" w:rsidR="001146F0" w:rsidRDefault="008D79AC">
            <w:pPr>
              <w:spacing w:after="0"/>
            </w:pPr>
            <w:r>
              <w:rPr>
                <w:sz w:val="14"/>
              </w:rPr>
              <w:t>Developing side maldistribution or branch configuration change.</w:t>
            </w:r>
          </w:p>
        </w:tc>
        <w:tc>
          <w:tcPr>
            <w:tcW w:w="3701" w:type="dxa"/>
            <w:gridSpan w:val="2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09D569EA" w14:textId="77777777" w:rsidR="001146F0" w:rsidRDefault="008D79AC">
            <w:pPr>
              <w:spacing w:after="0"/>
            </w:pPr>
            <w:r>
              <w:rPr>
                <w:sz w:val="14"/>
              </w:rPr>
              <w:t>Confirm damper status and downstream pressure/temperature evidence.</w:t>
            </w:r>
          </w:p>
        </w:tc>
      </w:tr>
      <w:tr w:rsidR="001146F0" w14:paraId="1F1BC7F8" w14:textId="77777777">
        <w:trPr>
          <w:jc w:val="center"/>
        </w:trPr>
        <w:tc>
          <w:tcPr>
            <w:tcW w:w="2232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2E3EE765" w14:textId="77777777" w:rsidR="001146F0" w:rsidRDefault="008D79AC">
            <w:pPr>
              <w:spacing w:after="0"/>
            </w:pPr>
            <w:r>
              <w:rPr>
                <w:b/>
                <w:color w:val="1F4E79"/>
                <w:sz w:val="14"/>
              </w:rPr>
              <w:t>Fan effort rises but Total PA does not</w:t>
            </w:r>
          </w:p>
        </w:tc>
        <w:tc>
          <w:tcPr>
            <w:tcW w:w="3571" w:type="dxa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E3FE6A2" w14:textId="77777777" w:rsidR="001146F0" w:rsidRDefault="008D79AC">
            <w:pPr>
              <w:spacing w:after="0"/>
            </w:pPr>
            <w:r>
              <w:rPr>
                <w:sz w:val="14"/>
              </w:rPr>
              <w:t>Higher PA-system resistance or fan/flow measurement issue.</w:t>
            </w:r>
          </w:p>
        </w:tc>
        <w:tc>
          <w:tcPr>
            <w:tcW w:w="3701" w:type="dxa"/>
            <w:gridSpan w:val="2"/>
            <w:shd w:val="clear" w:color="auto" w:fill="F5F8FA"/>
            <w:tcMar>
              <w:top w:w="72" w:type="dxa"/>
              <w:left w:w="95" w:type="dxa"/>
              <w:bottom w:w="72" w:type="dxa"/>
              <w:right w:w="95" w:type="dxa"/>
            </w:tcMar>
            <w:vAlign w:val="center"/>
          </w:tcPr>
          <w:p w14:paraId="347F9FA2" w14:textId="77777777" w:rsidR="001146F0" w:rsidRDefault="008D79AC">
            <w:pPr>
              <w:spacing w:after="0"/>
            </w:pPr>
            <w:r>
              <w:rPr>
                <w:sz w:val="14"/>
              </w:rPr>
              <w:t>Correlate with Clusters 2/3 and PA air-box distribution.</w:t>
            </w:r>
          </w:p>
        </w:tc>
      </w:tr>
    </w:tbl>
    <w:p w14:paraId="07D33ED4" w14:textId="77777777" w:rsidR="001146F0" w:rsidRDefault="008D79AC">
      <w:pPr>
        <w:pStyle w:val="Heading2"/>
      </w:pPr>
      <w:r>
        <w:t>Recommended Dashboard Outputs</w:t>
      </w:r>
    </w:p>
    <w:p w14:paraId="4E1DF44D" w14:textId="0994D431" w:rsidR="001146F0" w:rsidRDefault="008D79AC">
      <w:pPr>
        <w:pStyle w:val="ListBullet"/>
      </w:pPr>
      <w:r>
        <w:t>Actual, predicted and normal-band Total PA Flow by load band.</w:t>
      </w:r>
      <w:r w:rsidR="005D02C4">
        <w:t xml:space="preserve"> </w:t>
      </w:r>
      <w:r w:rsidR="00D73F7D">
        <w:t>(Already</w:t>
      </w:r>
      <w:r w:rsidR="00B94611">
        <w:t xml:space="preserve"> </w:t>
      </w:r>
      <w:r w:rsidR="00D73F7D">
        <w:t xml:space="preserve">considered </w:t>
      </w:r>
      <w:r w:rsidR="00B94611">
        <w:t>developed in Cluster 2)</w:t>
      </w:r>
    </w:p>
    <w:p w14:paraId="6E320B08" w14:textId="68C60F02" w:rsidR="001146F0" w:rsidRDefault="008D79AC">
      <w:pPr>
        <w:pStyle w:val="ListBullet"/>
      </w:pPr>
      <w:r>
        <w:t>HGG-A and HGG-B validated flow, and A/B distribution trend.</w:t>
      </w:r>
    </w:p>
    <w:p w14:paraId="10DE22AD" w14:textId="5E89F3A8" w:rsidR="001146F0" w:rsidRDefault="008D79AC">
      <w:pPr>
        <w:pStyle w:val="ListBullet"/>
      </w:pPr>
      <w:r>
        <w:t>Absolute and percentage residual, user-defined limit</w:t>
      </w:r>
      <w:r w:rsidR="007C0D4C">
        <w:t>.</w:t>
      </w:r>
    </w:p>
    <w:p w14:paraId="259BF645" w14:textId="77777777" w:rsidR="001146F0" w:rsidRDefault="008D79AC">
      <w:pPr>
        <w:pStyle w:val="Heading2"/>
      </w:pPr>
      <w:r>
        <w:t>Model Acceptance and Review</w:t>
      </w:r>
    </w:p>
    <w:p w14:paraId="6B437DBF" w14:textId="5C3A6CDF" w:rsidR="001146F0" w:rsidRDefault="008D79AC">
      <w:pPr>
        <w:pStyle w:val="ListBullet"/>
      </w:pPr>
      <w:r>
        <w:t xml:space="preserve">Validate prediction </w:t>
      </w:r>
      <w:r w:rsidR="00232D57">
        <w:t>errors</w:t>
      </w:r>
      <w:r>
        <w:t xml:space="preserve"> separately by load band</w:t>
      </w:r>
      <w:r w:rsidR="00232D57">
        <w:t>.</w:t>
      </w:r>
    </w:p>
    <w:p w14:paraId="173BE992" w14:textId="77777777" w:rsidR="001146F0" w:rsidRDefault="008D79AC">
      <w:pPr>
        <w:pStyle w:val="ListBullet"/>
      </w:pPr>
      <w:r>
        <w:t>Test the model on an independent period and verify that healthy operation remains within the accepted limits.</w:t>
      </w:r>
    </w:p>
    <w:p w14:paraId="6C1B6791" w14:textId="380BA927" w:rsidR="001146F0" w:rsidRDefault="001146F0" w:rsidP="00232D57">
      <w:pPr>
        <w:pStyle w:val="ListBullet"/>
        <w:numPr>
          <w:ilvl w:val="0"/>
          <w:numId w:val="0"/>
        </w:numPr>
        <w:ind w:lef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9"/>
      </w:tblGrid>
      <w:tr w:rsidR="001146F0" w14:paraId="115C187E" w14:textId="77777777">
        <w:trPr>
          <w:jc w:val="center"/>
        </w:trPr>
        <w:tc>
          <w:tcPr>
            <w:tcW w:w="10009" w:type="dxa"/>
            <w:shd w:val="clear" w:color="auto" w:fill="E2F0D9"/>
            <w:tcMar>
              <w:top w:w="115" w:type="dxa"/>
              <w:left w:w="155" w:type="dxa"/>
              <w:bottom w:w="115" w:type="dxa"/>
              <w:right w:w="155" w:type="dxa"/>
            </w:tcMar>
          </w:tcPr>
          <w:p w14:paraId="7261147E" w14:textId="51238212" w:rsidR="001146F0" w:rsidRDefault="008D79AC">
            <w:r>
              <w:rPr>
                <w:b/>
                <w:color w:val="375F28"/>
              </w:rPr>
              <w:t xml:space="preserve">Conclusion. </w:t>
            </w:r>
            <w:r>
              <w:t xml:space="preserve">Cluster </w:t>
            </w:r>
            <w:r w:rsidR="00232D57">
              <w:t>5</w:t>
            </w:r>
            <w:r>
              <w:t xml:space="preserve"> should establish the normal relationship between steam demand, Total PA Flow and HGG/header branch delivery. Persistent deviations should distinguish an overall PA-output problem from a branch-distribution or measurement </w:t>
            </w:r>
            <w:proofErr w:type="gramStart"/>
            <w:r>
              <w:t>problem</w:t>
            </w:r>
            <w:r w:rsidR="004277D0">
              <w:t xml:space="preserve"> .Cluster</w:t>
            </w:r>
            <w:proofErr w:type="gramEnd"/>
            <w:r w:rsidR="004277D0">
              <w:t xml:space="preserve"> 5 </w:t>
            </w:r>
            <w:proofErr w:type="gramStart"/>
            <w:r w:rsidR="004277D0">
              <w:t xml:space="preserve">mainly </w:t>
            </w:r>
            <w:r>
              <w:t xml:space="preserve"> </w:t>
            </w:r>
            <w:r w:rsidR="004277D0">
              <w:t>identifies</w:t>
            </w:r>
            <w:proofErr w:type="gramEnd"/>
            <w:r w:rsidR="004277D0">
              <w:t xml:space="preserve"> deviation does not deep dive into RCA,</w:t>
            </w:r>
          </w:p>
        </w:tc>
      </w:tr>
    </w:tbl>
    <w:p w14:paraId="152450D9" w14:textId="46E91D62" w:rsidR="001146F0" w:rsidRDefault="001146F0" w:rsidP="004277D0">
      <w:pPr>
        <w:spacing w:before="80"/>
      </w:pPr>
    </w:p>
    <w:sectPr w:rsidR="001146F0" w:rsidSect="00034616">
      <w:headerReference w:type="default" r:id="rId8"/>
      <w:footerReference w:type="default" r:id="rId9"/>
      <w:pgSz w:w="11909" w:h="16834"/>
      <w:pgMar w:top="749" w:right="950" w:bottom="749" w:left="950" w:header="317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B77D" w14:textId="77777777" w:rsidR="00BA78FE" w:rsidRDefault="00BA78FE">
      <w:pPr>
        <w:spacing w:after="0" w:line="240" w:lineRule="auto"/>
      </w:pPr>
      <w:r>
        <w:separator/>
      </w:r>
    </w:p>
  </w:endnote>
  <w:endnote w:type="continuationSeparator" w:id="0">
    <w:p w14:paraId="370E676D" w14:textId="77777777" w:rsidR="00BA78FE" w:rsidRDefault="00BA7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D205" w14:textId="72763B3A" w:rsidR="001146F0" w:rsidRDefault="008D79AC">
    <w:pPr>
      <w:pStyle w:val="Footer"/>
      <w:jc w:val="right"/>
    </w:pPr>
    <w:r>
      <w:rPr>
        <w:color w:val="646464"/>
        <w:sz w:val="16"/>
      </w:rPr>
      <w:t xml:space="preserve">Page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>
      <w:rPr>
        <w:color w:val="646464"/>
        <w:sz w:val="16"/>
      </w:rPr>
      <w:fldChar w:fldCharType="separate"/>
    </w:r>
    <w:r w:rsidR="001A1DC9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54BCF" w14:textId="77777777" w:rsidR="00BA78FE" w:rsidRDefault="00BA78FE">
      <w:pPr>
        <w:spacing w:after="0" w:line="240" w:lineRule="auto"/>
      </w:pPr>
      <w:r>
        <w:separator/>
      </w:r>
    </w:p>
  </w:footnote>
  <w:footnote w:type="continuationSeparator" w:id="0">
    <w:p w14:paraId="1D2C1B73" w14:textId="77777777" w:rsidR="00BA78FE" w:rsidRDefault="00BA7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A2EFF" w14:textId="77777777" w:rsidR="001146F0" w:rsidRDefault="008D79AC">
    <w:pPr>
      <w:pStyle w:val="Header"/>
      <w:pBdr>
        <w:bottom w:val="single" w:sz="6" w:space="3" w:color="5B9BD5"/>
      </w:pBdr>
      <w:jc w:val="right"/>
    </w:pPr>
    <w:r>
      <w:rPr>
        <w:b/>
        <w:color w:val="595959"/>
        <w:sz w:val="14"/>
      </w:rPr>
      <w:t>TECHNICAL NOTE  |  BOILER PERFORMANCE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177774">
    <w:abstractNumId w:val="8"/>
  </w:num>
  <w:num w:numId="2" w16cid:durableId="861673427">
    <w:abstractNumId w:val="6"/>
  </w:num>
  <w:num w:numId="3" w16cid:durableId="805046687">
    <w:abstractNumId w:val="5"/>
  </w:num>
  <w:num w:numId="4" w16cid:durableId="1392314830">
    <w:abstractNumId w:val="4"/>
  </w:num>
  <w:num w:numId="5" w16cid:durableId="1313025964">
    <w:abstractNumId w:val="7"/>
  </w:num>
  <w:num w:numId="6" w16cid:durableId="1811433499">
    <w:abstractNumId w:val="3"/>
  </w:num>
  <w:num w:numId="7" w16cid:durableId="835148167">
    <w:abstractNumId w:val="2"/>
  </w:num>
  <w:num w:numId="8" w16cid:durableId="1995916290">
    <w:abstractNumId w:val="1"/>
  </w:num>
  <w:num w:numId="9" w16cid:durableId="40376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6D8"/>
    <w:rsid w:val="00076D2C"/>
    <w:rsid w:val="000B551F"/>
    <w:rsid w:val="001146F0"/>
    <w:rsid w:val="00147C4D"/>
    <w:rsid w:val="0015074B"/>
    <w:rsid w:val="00151B14"/>
    <w:rsid w:val="001A1DC9"/>
    <w:rsid w:val="001E00C5"/>
    <w:rsid w:val="0021167A"/>
    <w:rsid w:val="00232D57"/>
    <w:rsid w:val="0029639D"/>
    <w:rsid w:val="00322497"/>
    <w:rsid w:val="00326958"/>
    <w:rsid w:val="00326F90"/>
    <w:rsid w:val="003840C7"/>
    <w:rsid w:val="003D5CF6"/>
    <w:rsid w:val="00423D74"/>
    <w:rsid w:val="004277D0"/>
    <w:rsid w:val="00466498"/>
    <w:rsid w:val="004F4461"/>
    <w:rsid w:val="004F54D6"/>
    <w:rsid w:val="00510F9B"/>
    <w:rsid w:val="00512EEA"/>
    <w:rsid w:val="0053040B"/>
    <w:rsid w:val="005639B7"/>
    <w:rsid w:val="005B1B17"/>
    <w:rsid w:val="005C2CF1"/>
    <w:rsid w:val="005D02C4"/>
    <w:rsid w:val="0067281C"/>
    <w:rsid w:val="00707889"/>
    <w:rsid w:val="00721057"/>
    <w:rsid w:val="007C0D4C"/>
    <w:rsid w:val="00870B33"/>
    <w:rsid w:val="008B572C"/>
    <w:rsid w:val="008D79AC"/>
    <w:rsid w:val="0090728A"/>
    <w:rsid w:val="00917DE3"/>
    <w:rsid w:val="00920487"/>
    <w:rsid w:val="00935725"/>
    <w:rsid w:val="00981606"/>
    <w:rsid w:val="009B78AF"/>
    <w:rsid w:val="00A6089D"/>
    <w:rsid w:val="00A7373C"/>
    <w:rsid w:val="00AA1D8D"/>
    <w:rsid w:val="00AC7EB3"/>
    <w:rsid w:val="00B0711E"/>
    <w:rsid w:val="00B47730"/>
    <w:rsid w:val="00B501AC"/>
    <w:rsid w:val="00B94611"/>
    <w:rsid w:val="00BA2B9E"/>
    <w:rsid w:val="00BA78FE"/>
    <w:rsid w:val="00BD4D64"/>
    <w:rsid w:val="00C42E09"/>
    <w:rsid w:val="00C6437D"/>
    <w:rsid w:val="00C8677F"/>
    <w:rsid w:val="00CB0664"/>
    <w:rsid w:val="00D6281D"/>
    <w:rsid w:val="00D62B80"/>
    <w:rsid w:val="00D73B03"/>
    <w:rsid w:val="00D73F7D"/>
    <w:rsid w:val="00DD270D"/>
    <w:rsid w:val="00DD3A5D"/>
    <w:rsid w:val="00E23F27"/>
    <w:rsid w:val="00E44287"/>
    <w:rsid w:val="00ED7A4A"/>
    <w:rsid w:val="00FB76CA"/>
    <w:rsid w:val="00FC693F"/>
    <w:rsid w:val="00FF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0AB16C7-6AE6-4980-99B5-8E87A356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70" w:line="245" w:lineRule="auto"/>
    </w:pPr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50"/>
      <w:outlineLvl w:val="0"/>
    </w:pPr>
    <w:rPr>
      <w:rFonts w:asciiTheme="majorHAnsi" w:eastAsiaTheme="majorEastAsia" w:hAnsiTheme="majorHAnsi" w:cstheme="majorBidi"/>
      <w:b/>
      <w:bCs/>
      <w:color w:val="1F4E7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0" w:after="40"/>
      <w:outlineLvl w:val="1"/>
    </w:pPr>
    <w:rPr>
      <w:rFonts w:asciiTheme="majorHAnsi" w:eastAsiaTheme="majorEastAsia" w:hAnsiTheme="majorHAnsi" w:cstheme="majorBidi"/>
      <w:b/>
      <w:bCs/>
      <w:color w:val="2F75B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Cluster 4 - PA Header &amp; Total Flow</dc:title>
  <dc:subject>Training data, validation and performance checking</dc:subject>
  <dc:creator>Bhattacharya, ,Punarbasu</dc:creator>
  <cp:keywords/>
  <dc:description>generated by python-docx</dc:description>
  <cp:lastModifiedBy>Bhattacharya, ,Punarbasu</cp:lastModifiedBy>
  <cp:revision>56</cp:revision>
  <dcterms:created xsi:type="dcterms:W3CDTF">2026-07-19T06:32:00Z</dcterms:created>
  <dcterms:modified xsi:type="dcterms:W3CDTF">2026-07-21T04:56:00Z</dcterms:modified>
  <cp:category/>
</cp:coreProperties>
</file>