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F03F" w14:textId="0328A679" w:rsidR="008457B0" w:rsidRDefault="00000000">
      <w:pPr>
        <w:jc w:val="center"/>
      </w:pPr>
      <w:r>
        <w:rPr>
          <w:rFonts w:ascii="Aptos Display" w:hAnsi="Aptos Display"/>
          <w:b/>
          <w:color w:val="1F4E79"/>
          <w:sz w:val="46"/>
        </w:rPr>
        <w:t xml:space="preserve">Cluster </w:t>
      </w:r>
      <w:r w:rsidR="00CD6354">
        <w:rPr>
          <w:rFonts w:ascii="Aptos Display" w:hAnsi="Aptos Display"/>
          <w:b/>
          <w:color w:val="1F4E79"/>
          <w:sz w:val="46"/>
        </w:rPr>
        <w:t>8</w:t>
      </w:r>
      <w:r>
        <w:rPr>
          <w:rFonts w:ascii="Aptos Display" w:hAnsi="Aptos Display"/>
          <w:b/>
          <w:color w:val="1F4E79"/>
          <w:sz w:val="46"/>
        </w:rPr>
        <w:t xml:space="preserve"> – SA Air Distribution</w:t>
      </w:r>
    </w:p>
    <w:p w14:paraId="33348F55" w14:textId="77777777" w:rsidR="008457B0" w:rsidRDefault="00000000">
      <w:pPr>
        <w:jc w:val="center"/>
      </w:pPr>
      <w:r>
        <w:rPr>
          <w:b/>
          <w:color w:val="666666"/>
          <w:sz w:val="18"/>
        </w:rPr>
        <w:t>TECHNICAL NOTE  |  BOILER PERFORMANCE ANALYTICS</w:t>
      </w:r>
    </w:p>
    <w:p w14:paraId="026B7FAE" w14:textId="77777777" w:rsidR="008457B0" w:rsidRDefault="00000000">
      <w:pPr>
        <w:jc w:val="center"/>
      </w:pPr>
      <w:r>
        <w:rPr>
          <w:i/>
          <w:color w:val="555555"/>
          <w:sz w:val="22"/>
        </w:rPr>
        <w:t>Training relationships, validation logic and performance checking</w:t>
      </w:r>
    </w:p>
    <w:tbl>
      <w:tblPr>
        <w:tblStyle w:val="TableGrid"/>
        <w:tblW w:w="0" w:type="auto"/>
        <w:jc w:val="center"/>
        <w:tblLook w:val="04A0" w:firstRow="1" w:lastRow="0" w:firstColumn="1" w:lastColumn="0" w:noHBand="0" w:noVBand="1"/>
      </w:tblPr>
      <w:tblGrid>
        <w:gridCol w:w="1694"/>
        <w:gridCol w:w="8914"/>
      </w:tblGrid>
      <w:tr w:rsidR="008457B0" w14:paraId="4E94C807" w14:textId="77777777" w:rsidTr="007B7287">
        <w:trPr>
          <w:jc w:val="center"/>
        </w:trPr>
        <w:tc>
          <w:tcPr>
            <w:tcW w:w="1728" w:type="dxa"/>
            <w:shd w:val="clear" w:color="auto" w:fill="DAEEF3" w:themeFill="accent5" w:themeFillTint="33"/>
            <w:tcMar>
              <w:top w:w="100" w:type="dxa"/>
              <w:left w:w="120" w:type="dxa"/>
              <w:bottom w:w="100" w:type="dxa"/>
              <w:right w:w="120" w:type="dxa"/>
            </w:tcMar>
            <w:vAlign w:val="center"/>
          </w:tcPr>
          <w:p w14:paraId="710DFAD8" w14:textId="77777777" w:rsidR="008457B0" w:rsidRPr="007B7287" w:rsidRDefault="00000000">
            <w:pPr>
              <w:spacing w:after="0"/>
              <w:rPr>
                <w:color w:val="000000" w:themeColor="text1"/>
              </w:rPr>
            </w:pPr>
            <w:r w:rsidRPr="007B7287">
              <w:rPr>
                <w:b/>
                <w:color w:val="000000" w:themeColor="text1"/>
                <w:sz w:val="18"/>
              </w:rPr>
              <w:t>OBJECTIVE</w:t>
            </w:r>
          </w:p>
        </w:tc>
        <w:tc>
          <w:tcPr>
            <w:tcW w:w="9360" w:type="dxa"/>
            <w:shd w:val="clear" w:color="auto" w:fill="DAEEF3" w:themeFill="accent5" w:themeFillTint="33"/>
            <w:tcMar>
              <w:top w:w="100" w:type="dxa"/>
              <w:left w:w="120" w:type="dxa"/>
              <w:bottom w:w="100" w:type="dxa"/>
              <w:right w:w="120" w:type="dxa"/>
            </w:tcMar>
            <w:vAlign w:val="center"/>
          </w:tcPr>
          <w:p w14:paraId="405D18FF" w14:textId="77777777" w:rsidR="008457B0" w:rsidRPr="007B7287" w:rsidRDefault="00000000">
            <w:pPr>
              <w:spacing w:after="0"/>
              <w:rPr>
                <w:color w:val="000000" w:themeColor="text1"/>
              </w:rPr>
            </w:pPr>
            <w:r w:rsidRPr="007B7287">
              <w:rPr>
                <w:b/>
                <w:color w:val="000000" w:themeColor="text1"/>
              </w:rPr>
              <w:t>Build a normal-behaviour model for secondary-air pressure, flow and temperature delivery from the APH outlet to the furnace, referenced to steam demand, so that SA-side restriction, leakage, maldistribution or heat-pickup deterioration is detected early.</w:t>
            </w:r>
          </w:p>
        </w:tc>
      </w:tr>
    </w:tbl>
    <w:p w14:paraId="3CCA82C5" w14:textId="77777777" w:rsidR="008457B0" w:rsidRDefault="008457B0"/>
    <w:p w14:paraId="40078B52" w14:textId="31BFDD1C" w:rsidR="008457B0" w:rsidRDefault="00000000">
      <w:pPr>
        <w:pStyle w:val="Heading1"/>
      </w:pPr>
      <w:r>
        <w:t>Scope and Variables</w:t>
      </w:r>
    </w:p>
    <w:p w14:paraId="7C7894C3" w14:textId="77777777" w:rsidR="008457B0" w:rsidRDefault="00000000">
      <w:r>
        <w:t>Cluster 6 evaluates whether secondary air is delivered to the furnace in the quantity, pressure and temperature expected for the prevailing steam demand. It complements the fan and draft clusters by focusing on the downstream SA distribution path rather than on fan electrical health.</w:t>
      </w:r>
    </w:p>
    <w:tbl>
      <w:tblPr>
        <w:tblStyle w:val="TableGrid"/>
        <w:tblW w:w="0" w:type="auto"/>
        <w:jc w:val="center"/>
        <w:tblLook w:val="04A0" w:firstRow="1" w:lastRow="0" w:firstColumn="1" w:lastColumn="0" w:noHBand="0" w:noVBand="1"/>
      </w:tblPr>
      <w:tblGrid>
        <w:gridCol w:w="1944"/>
        <w:gridCol w:w="3816"/>
        <w:gridCol w:w="4608"/>
      </w:tblGrid>
      <w:tr w:rsidR="008457B0" w14:paraId="28EAA1C4" w14:textId="77777777">
        <w:trPr>
          <w:tblHeader/>
          <w:jc w:val="center"/>
        </w:trPr>
        <w:tc>
          <w:tcPr>
            <w:tcW w:w="1944" w:type="dxa"/>
            <w:shd w:val="clear" w:color="auto" w:fill="1F4E79"/>
            <w:tcMar>
              <w:top w:w="100" w:type="dxa"/>
              <w:left w:w="120" w:type="dxa"/>
              <w:bottom w:w="100" w:type="dxa"/>
              <w:right w:w="120" w:type="dxa"/>
            </w:tcMar>
            <w:vAlign w:val="center"/>
          </w:tcPr>
          <w:p w14:paraId="38F00416" w14:textId="77777777" w:rsidR="008457B0" w:rsidRDefault="00000000">
            <w:pPr>
              <w:spacing w:after="0"/>
            </w:pPr>
            <w:r>
              <w:rPr>
                <w:b/>
                <w:color w:val="FFFFFF"/>
                <w:sz w:val="18"/>
              </w:rPr>
              <w:t>Variable group</w:t>
            </w:r>
          </w:p>
        </w:tc>
        <w:tc>
          <w:tcPr>
            <w:tcW w:w="3816" w:type="dxa"/>
            <w:shd w:val="clear" w:color="auto" w:fill="1F4E79"/>
            <w:tcMar>
              <w:top w:w="100" w:type="dxa"/>
              <w:left w:w="120" w:type="dxa"/>
              <w:bottom w:w="100" w:type="dxa"/>
              <w:right w:w="120" w:type="dxa"/>
            </w:tcMar>
            <w:vAlign w:val="center"/>
          </w:tcPr>
          <w:p w14:paraId="6AD99495" w14:textId="77777777" w:rsidR="008457B0" w:rsidRDefault="00000000">
            <w:pPr>
              <w:spacing w:after="0"/>
            </w:pPr>
            <w:r>
              <w:rPr>
                <w:b/>
                <w:color w:val="FFFFFF"/>
                <w:sz w:val="18"/>
              </w:rPr>
              <w:t>Tags</w:t>
            </w:r>
          </w:p>
        </w:tc>
        <w:tc>
          <w:tcPr>
            <w:tcW w:w="4608" w:type="dxa"/>
            <w:shd w:val="clear" w:color="auto" w:fill="1F4E79"/>
            <w:tcMar>
              <w:top w:w="100" w:type="dxa"/>
              <w:left w:w="120" w:type="dxa"/>
              <w:bottom w:w="100" w:type="dxa"/>
              <w:right w:w="120" w:type="dxa"/>
            </w:tcMar>
            <w:vAlign w:val="center"/>
          </w:tcPr>
          <w:p w14:paraId="38261B1B" w14:textId="77777777" w:rsidR="008457B0" w:rsidRDefault="00000000">
            <w:pPr>
              <w:spacing w:after="0"/>
            </w:pPr>
            <w:r>
              <w:rPr>
                <w:b/>
                <w:color w:val="FFFFFF"/>
                <w:sz w:val="18"/>
              </w:rPr>
              <w:t>Role in model</w:t>
            </w:r>
          </w:p>
        </w:tc>
      </w:tr>
      <w:tr w:rsidR="008457B0" w14:paraId="680C933B" w14:textId="77777777">
        <w:trPr>
          <w:cantSplit/>
          <w:jc w:val="center"/>
        </w:trPr>
        <w:tc>
          <w:tcPr>
            <w:tcW w:w="1944" w:type="dxa"/>
            <w:shd w:val="clear" w:color="auto" w:fill="FFFFFF"/>
            <w:tcMar>
              <w:top w:w="100" w:type="dxa"/>
              <w:left w:w="120" w:type="dxa"/>
              <w:bottom w:w="100" w:type="dxa"/>
              <w:right w:w="120" w:type="dxa"/>
            </w:tcMar>
            <w:vAlign w:val="center"/>
          </w:tcPr>
          <w:p w14:paraId="4C4CB691" w14:textId="77777777" w:rsidR="008457B0" w:rsidRDefault="00000000">
            <w:pPr>
              <w:spacing w:after="0"/>
            </w:pPr>
            <w:r>
              <w:rPr>
                <w:color w:val="333333"/>
                <w:sz w:val="17"/>
              </w:rPr>
              <w:t>Operating demand</w:t>
            </w:r>
          </w:p>
        </w:tc>
        <w:tc>
          <w:tcPr>
            <w:tcW w:w="3816" w:type="dxa"/>
            <w:shd w:val="clear" w:color="auto" w:fill="FFFFFF"/>
            <w:tcMar>
              <w:top w:w="100" w:type="dxa"/>
              <w:left w:w="120" w:type="dxa"/>
              <w:bottom w:w="100" w:type="dxa"/>
              <w:right w:w="120" w:type="dxa"/>
            </w:tcMar>
            <w:vAlign w:val="center"/>
          </w:tcPr>
          <w:p w14:paraId="3604B4C3" w14:textId="77777777" w:rsidR="008457B0" w:rsidRDefault="00000000">
            <w:pPr>
              <w:spacing w:after="0"/>
            </w:pPr>
            <w:r>
              <w:rPr>
                <w:color w:val="333333"/>
                <w:sz w:val="17"/>
              </w:rPr>
              <w:t>Steam Flow-A; Steam Flow-B</w:t>
            </w:r>
          </w:p>
        </w:tc>
        <w:tc>
          <w:tcPr>
            <w:tcW w:w="4608" w:type="dxa"/>
            <w:shd w:val="clear" w:color="auto" w:fill="FFFFFF"/>
            <w:tcMar>
              <w:top w:w="100" w:type="dxa"/>
              <w:left w:w="120" w:type="dxa"/>
              <w:bottom w:w="100" w:type="dxa"/>
              <w:right w:w="120" w:type="dxa"/>
            </w:tcMar>
            <w:vAlign w:val="center"/>
          </w:tcPr>
          <w:p w14:paraId="6D977FBE" w14:textId="77777777" w:rsidR="008457B0" w:rsidRDefault="00000000">
            <w:pPr>
              <w:spacing w:after="0"/>
            </w:pPr>
            <w:r>
              <w:rPr>
                <w:color w:val="333333"/>
                <w:sz w:val="17"/>
              </w:rPr>
              <w:t>Defines the expected combustion duty and load band.</w:t>
            </w:r>
          </w:p>
        </w:tc>
      </w:tr>
      <w:tr w:rsidR="008457B0" w14:paraId="21A28BFA" w14:textId="77777777">
        <w:trPr>
          <w:cantSplit/>
          <w:jc w:val="center"/>
        </w:trPr>
        <w:tc>
          <w:tcPr>
            <w:tcW w:w="1944" w:type="dxa"/>
            <w:shd w:val="clear" w:color="auto" w:fill="F7F9FB"/>
            <w:tcMar>
              <w:top w:w="100" w:type="dxa"/>
              <w:left w:w="120" w:type="dxa"/>
              <w:bottom w:w="100" w:type="dxa"/>
              <w:right w:w="120" w:type="dxa"/>
            </w:tcMar>
            <w:vAlign w:val="center"/>
          </w:tcPr>
          <w:p w14:paraId="45793E56" w14:textId="77777777" w:rsidR="008457B0" w:rsidRDefault="00000000">
            <w:pPr>
              <w:spacing w:after="0"/>
            </w:pPr>
            <w:r>
              <w:rPr>
                <w:color w:val="333333"/>
                <w:sz w:val="17"/>
              </w:rPr>
              <w:t>Upstream pressure</w:t>
            </w:r>
          </w:p>
        </w:tc>
        <w:tc>
          <w:tcPr>
            <w:tcW w:w="3816" w:type="dxa"/>
            <w:shd w:val="clear" w:color="auto" w:fill="F7F9FB"/>
            <w:tcMar>
              <w:top w:w="100" w:type="dxa"/>
              <w:left w:w="120" w:type="dxa"/>
              <w:bottom w:w="100" w:type="dxa"/>
              <w:right w:w="120" w:type="dxa"/>
            </w:tcMar>
            <w:vAlign w:val="center"/>
          </w:tcPr>
          <w:p w14:paraId="57594567" w14:textId="77777777" w:rsidR="008457B0" w:rsidRDefault="00000000">
            <w:pPr>
              <w:spacing w:after="0"/>
            </w:pPr>
            <w:r>
              <w:rPr>
                <w:color w:val="333333"/>
                <w:sz w:val="17"/>
              </w:rPr>
              <w:t>SA PR TO APH(A); SA PR TO APH(B)</w:t>
            </w:r>
          </w:p>
        </w:tc>
        <w:tc>
          <w:tcPr>
            <w:tcW w:w="4608" w:type="dxa"/>
            <w:shd w:val="clear" w:color="auto" w:fill="F7F9FB"/>
            <w:tcMar>
              <w:top w:w="100" w:type="dxa"/>
              <w:left w:w="120" w:type="dxa"/>
              <w:bottom w:w="100" w:type="dxa"/>
              <w:right w:w="120" w:type="dxa"/>
            </w:tcMar>
            <w:vAlign w:val="center"/>
          </w:tcPr>
          <w:p w14:paraId="16C86A4B" w14:textId="77777777" w:rsidR="008457B0" w:rsidRDefault="00000000">
            <w:pPr>
              <w:spacing w:after="0"/>
            </w:pPr>
            <w:r>
              <w:rPr>
                <w:color w:val="333333"/>
                <w:sz w:val="17"/>
              </w:rPr>
              <w:t>Represents pressure delivered toward/through the APH on each side.</w:t>
            </w:r>
          </w:p>
        </w:tc>
      </w:tr>
      <w:tr w:rsidR="008457B0" w14:paraId="377DA9D4" w14:textId="77777777">
        <w:trPr>
          <w:cantSplit/>
          <w:jc w:val="center"/>
        </w:trPr>
        <w:tc>
          <w:tcPr>
            <w:tcW w:w="1944" w:type="dxa"/>
            <w:shd w:val="clear" w:color="auto" w:fill="FFFFFF"/>
            <w:tcMar>
              <w:top w:w="100" w:type="dxa"/>
              <w:left w:w="120" w:type="dxa"/>
              <w:bottom w:w="100" w:type="dxa"/>
              <w:right w:w="120" w:type="dxa"/>
            </w:tcMar>
            <w:vAlign w:val="center"/>
          </w:tcPr>
          <w:p w14:paraId="73E0A94B" w14:textId="77777777" w:rsidR="008457B0" w:rsidRDefault="00000000">
            <w:pPr>
              <w:spacing w:after="0"/>
            </w:pPr>
            <w:r>
              <w:rPr>
                <w:color w:val="333333"/>
                <w:sz w:val="17"/>
              </w:rPr>
              <w:t>Furnace delivery pressure</w:t>
            </w:r>
          </w:p>
        </w:tc>
        <w:tc>
          <w:tcPr>
            <w:tcW w:w="3816" w:type="dxa"/>
            <w:shd w:val="clear" w:color="auto" w:fill="FFFFFF"/>
            <w:tcMar>
              <w:top w:w="100" w:type="dxa"/>
              <w:left w:w="120" w:type="dxa"/>
              <w:bottom w:w="100" w:type="dxa"/>
              <w:right w:w="120" w:type="dxa"/>
            </w:tcMar>
            <w:vAlign w:val="center"/>
          </w:tcPr>
          <w:p w14:paraId="0CCB9A49" w14:textId="77777777" w:rsidR="008457B0" w:rsidRDefault="00000000">
            <w:pPr>
              <w:spacing w:after="0"/>
            </w:pPr>
            <w:r>
              <w:rPr>
                <w:color w:val="333333"/>
                <w:sz w:val="17"/>
              </w:rPr>
              <w:t>sa Pressure At Furnace Inlet; SA PR TO FURNACE</w:t>
            </w:r>
          </w:p>
        </w:tc>
        <w:tc>
          <w:tcPr>
            <w:tcW w:w="4608" w:type="dxa"/>
            <w:shd w:val="clear" w:color="auto" w:fill="FFFFFF"/>
            <w:tcMar>
              <w:top w:w="100" w:type="dxa"/>
              <w:left w:w="120" w:type="dxa"/>
              <w:bottom w:w="100" w:type="dxa"/>
              <w:right w:w="120" w:type="dxa"/>
            </w:tcMar>
            <w:vAlign w:val="center"/>
          </w:tcPr>
          <w:p w14:paraId="79EA95B1" w14:textId="77777777" w:rsidR="008457B0" w:rsidRDefault="00000000">
            <w:pPr>
              <w:spacing w:after="0"/>
            </w:pPr>
            <w:r>
              <w:rPr>
                <w:color w:val="333333"/>
                <w:sz w:val="17"/>
              </w:rPr>
              <w:t>Represents usable SA pressure reaching the furnace.</w:t>
            </w:r>
          </w:p>
        </w:tc>
      </w:tr>
      <w:tr w:rsidR="008457B0" w14:paraId="19076A9A" w14:textId="77777777">
        <w:trPr>
          <w:cantSplit/>
          <w:jc w:val="center"/>
        </w:trPr>
        <w:tc>
          <w:tcPr>
            <w:tcW w:w="1944" w:type="dxa"/>
            <w:shd w:val="clear" w:color="auto" w:fill="F7F9FB"/>
            <w:tcMar>
              <w:top w:w="100" w:type="dxa"/>
              <w:left w:w="120" w:type="dxa"/>
              <w:bottom w:w="100" w:type="dxa"/>
              <w:right w:w="120" w:type="dxa"/>
            </w:tcMar>
            <w:vAlign w:val="center"/>
          </w:tcPr>
          <w:p w14:paraId="6AE8EDAC" w14:textId="77777777" w:rsidR="008457B0" w:rsidRDefault="00000000">
            <w:pPr>
              <w:spacing w:after="0"/>
            </w:pPr>
            <w:r>
              <w:rPr>
                <w:color w:val="333333"/>
                <w:sz w:val="17"/>
              </w:rPr>
              <w:t>Temperature delivery</w:t>
            </w:r>
          </w:p>
        </w:tc>
        <w:tc>
          <w:tcPr>
            <w:tcW w:w="3816" w:type="dxa"/>
            <w:shd w:val="clear" w:color="auto" w:fill="F7F9FB"/>
            <w:tcMar>
              <w:top w:w="100" w:type="dxa"/>
              <w:left w:w="120" w:type="dxa"/>
              <w:bottom w:w="100" w:type="dxa"/>
              <w:right w:w="120" w:type="dxa"/>
            </w:tcMar>
            <w:vAlign w:val="center"/>
          </w:tcPr>
          <w:p w14:paraId="04F2E084" w14:textId="77777777" w:rsidR="008457B0" w:rsidRDefault="00000000">
            <w:pPr>
              <w:spacing w:after="0"/>
            </w:pPr>
            <w:r>
              <w:rPr>
                <w:color w:val="333333"/>
                <w:sz w:val="17"/>
              </w:rPr>
              <w:t>SA TEMP TO FURNACE; SA TEMP TO FURNACE [2]</w:t>
            </w:r>
          </w:p>
        </w:tc>
        <w:tc>
          <w:tcPr>
            <w:tcW w:w="4608" w:type="dxa"/>
            <w:shd w:val="clear" w:color="auto" w:fill="F7F9FB"/>
            <w:tcMar>
              <w:top w:w="100" w:type="dxa"/>
              <w:left w:w="120" w:type="dxa"/>
              <w:bottom w:w="100" w:type="dxa"/>
              <w:right w:w="120" w:type="dxa"/>
            </w:tcMar>
            <w:vAlign w:val="center"/>
          </w:tcPr>
          <w:p w14:paraId="749BD355" w14:textId="77777777" w:rsidR="008457B0" w:rsidRDefault="00000000">
            <w:pPr>
              <w:spacing w:after="0"/>
            </w:pPr>
            <w:r>
              <w:rPr>
                <w:color w:val="333333"/>
                <w:sz w:val="17"/>
              </w:rPr>
              <w:t>Represents SA heat pickup and provides redundant/parallel temperature evidence.</w:t>
            </w:r>
          </w:p>
        </w:tc>
      </w:tr>
      <w:tr w:rsidR="008457B0" w14:paraId="5503485A" w14:textId="77777777">
        <w:trPr>
          <w:cantSplit/>
          <w:jc w:val="center"/>
        </w:trPr>
        <w:tc>
          <w:tcPr>
            <w:tcW w:w="1944" w:type="dxa"/>
            <w:shd w:val="clear" w:color="auto" w:fill="FFFFFF"/>
            <w:tcMar>
              <w:top w:w="100" w:type="dxa"/>
              <w:left w:w="120" w:type="dxa"/>
              <w:bottom w:w="100" w:type="dxa"/>
              <w:right w:w="120" w:type="dxa"/>
            </w:tcMar>
            <w:vAlign w:val="center"/>
          </w:tcPr>
          <w:p w14:paraId="4C916033" w14:textId="77777777" w:rsidR="008457B0" w:rsidRDefault="00000000">
            <w:pPr>
              <w:spacing w:after="0"/>
            </w:pPr>
            <w:r>
              <w:rPr>
                <w:color w:val="333333"/>
                <w:sz w:val="17"/>
              </w:rPr>
              <w:t>Air-box temperature</w:t>
            </w:r>
          </w:p>
        </w:tc>
        <w:tc>
          <w:tcPr>
            <w:tcW w:w="3816" w:type="dxa"/>
            <w:shd w:val="clear" w:color="auto" w:fill="FFFFFF"/>
            <w:tcMar>
              <w:top w:w="100" w:type="dxa"/>
              <w:left w:w="120" w:type="dxa"/>
              <w:bottom w:w="100" w:type="dxa"/>
              <w:right w:w="120" w:type="dxa"/>
            </w:tcMar>
            <w:vAlign w:val="center"/>
          </w:tcPr>
          <w:p w14:paraId="00245E98" w14:textId="77777777" w:rsidR="008457B0" w:rsidRDefault="00000000">
            <w:pPr>
              <w:spacing w:after="0"/>
            </w:pPr>
            <w:r>
              <w:rPr>
                <w:color w:val="333333"/>
                <w:sz w:val="17"/>
              </w:rPr>
              <w:t>AIR TEMP AT AIR BOX A; AIR TEMP AT AIR BOX B</w:t>
            </w:r>
          </w:p>
        </w:tc>
        <w:tc>
          <w:tcPr>
            <w:tcW w:w="4608" w:type="dxa"/>
            <w:shd w:val="clear" w:color="auto" w:fill="FFFFFF"/>
            <w:tcMar>
              <w:top w:w="100" w:type="dxa"/>
              <w:left w:w="120" w:type="dxa"/>
              <w:bottom w:w="100" w:type="dxa"/>
              <w:right w:w="120" w:type="dxa"/>
            </w:tcMar>
            <w:vAlign w:val="center"/>
          </w:tcPr>
          <w:p w14:paraId="0E4DAD70" w14:textId="5DAADC13" w:rsidR="008457B0" w:rsidRDefault="00000000">
            <w:pPr>
              <w:spacing w:after="0"/>
            </w:pPr>
            <w:r>
              <w:rPr>
                <w:color w:val="333333"/>
                <w:sz w:val="17"/>
              </w:rPr>
              <w:t xml:space="preserve">Provides side-level thermal distribution </w:t>
            </w:r>
            <w:r w:rsidR="0053436C">
              <w:rPr>
                <w:color w:val="333333"/>
                <w:sz w:val="17"/>
              </w:rPr>
              <w:t xml:space="preserve">evidence. Ideally </w:t>
            </w:r>
            <w:r w:rsidR="00936702">
              <w:rPr>
                <w:color w:val="333333"/>
                <w:sz w:val="17"/>
              </w:rPr>
              <w:t>SA Temperature to Furnace a</w:t>
            </w:r>
            <w:r w:rsidR="003F34E2">
              <w:rPr>
                <w:color w:val="333333"/>
                <w:sz w:val="17"/>
              </w:rPr>
              <w:t>nd Air box Temperat</w:t>
            </w:r>
            <w:r w:rsidR="00B8537C">
              <w:rPr>
                <w:color w:val="333333"/>
                <w:sz w:val="17"/>
              </w:rPr>
              <w:t>ure are same.</w:t>
            </w:r>
          </w:p>
        </w:tc>
      </w:tr>
      <w:tr w:rsidR="008457B0" w14:paraId="101E6D1E" w14:textId="77777777">
        <w:trPr>
          <w:cantSplit/>
          <w:jc w:val="center"/>
        </w:trPr>
        <w:tc>
          <w:tcPr>
            <w:tcW w:w="1944" w:type="dxa"/>
            <w:shd w:val="clear" w:color="auto" w:fill="F7F9FB"/>
            <w:tcMar>
              <w:top w:w="100" w:type="dxa"/>
              <w:left w:w="120" w:type="dxa"/>
              <w:bottom w:w="100" w:type="dxa"/>
              <w:right w:w="120" w:type="dxa"/>
            </w:tcMar>
            <w:vAlign w:val="center"/>
          </w:tcPr>
          <w:p w14:paraId="79FB8269" w14:textId="77777777" w:rsidR="008457B0" w:rsidRDefault="00000000">
            <w:pPr>
              <w:spacing w:after="0"/>
            </w:pPr>
            <w:r>
              <w:rPr>
                <w:color w:val="333333"/>
                <w:sz w:val="17"/>
              </w:rPr>
              <w:t>Flow delivery</w:t>
            </w:r>
          </w:p>
        </w:tc>
        <w:tc>
          <w:tcPr>
            <w:tcW w:w="3816" w:type="dxa"/>
            <w:shd w:val="clear" w:color="auto" w:fill="F7F9FB"/>
            <w:tcMar>
              <w:top w:w="100" w:type="dxa"/>
              <w:left w:w="120" w:type="dxa"/>
              <w:bottom w:w="100" w:type="dxa"/>
              <w:right w:w="120" w:type="dxa"/>
            </w:tcMar>
            <w:vAlign w:val="center"/>
          </w:tcPr>
          <w:p w14:paraId="40C6E0C5" w14:textId="77777777" w:rsidR="008457B0" w:rsidRDefault="00000000">
            <w:pPr>
              <w:spacing w:after="0"/>
            </w:pPr>
            <w:r>
              <w:rPr>
                <w:color w:val="333333"/>
                <w:sz w:val="17"/>
              </w:rPr>
              <w:t>SA FLOW-A; SA FLOW-B</w:t>
            </w:r>
          </w:p>
        </w:tc>
        <w:tc>
          <w:tcPr>
            <w:tcW w:w="4608" w:type="dxa"/>
            <w:shd w:val="clear" w:color="auto" w:fill="F7F9FB"/>
            <w:tcMar>
              <w:top w:w="100" w:type="dxa"/>
              <w:left w:w="120" w:type="dxa"/>
              <w:bottom w:w="100" w:type="dxa"/>
              <w:right w:w="120" w:type="dxa"/>
            </w:tcMar>
            <w:vAlign w:val="center"/>
          </w:tcPr>
          <w:p w14:paraId="28A9AB54" w14:textId="77777777" w:rsidR="008457B0" w:rsidRDefault="00000000">
            <w:pPr>
              <w:spacing w:after="0"/>
            </w:pPr>
            <w:r>
              <w:rPr>
                <w:color w:val="333333"/>
                <w:sz w:val="17"/>
              </w:rPr>
              <w:t>Measures the secondary-air quantity delivered by each side.</w:t>
            </w:r>
          </w:p>
        </w:tc>
      </w:tr>
    </w:tbl>
    <w:p w14:paraId="7A4CC2D4"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0F8AF3B7" w14:textId="77777777">
        <w:trPr>
          <w:jc w:val="center"/>
        </w:trPr>
        <w:tc>
          <w:tcPr>
            <w:tcW w:w="10368" w:type="dxa"/>
            <w:shd w:val="clear" w:color="auto" w:fill="FFF2CC"/>
            <w:tcMar>
              <w:top w:w="140" w:type="dxa"/>
              <w:left w:w="160" w:type="dxa"/>
              <w:bottom w:w="140" w:type="dxa"/>
              <w:right w:w="160" w:type="dxa"/>
            </w:tcMar>
          </w:tcPr>
          <w:p w14:paraId="6DDB424A" w14:textId="77777777" w:rsidR="008457B0" w:rsidRDefault="00000000">
            <w:r>
              <w:rPr>
                <w:b/>
                <w:color w:val="1F4E79"/>
              </w:rPr>
              <w:t xml:space="preserve">Tag confirmation: </w:t>
            </w:r>
            <w:r>
              <w:rPr>
                <w:sz w:val="18"/>
              </w:rPr>
              <w:t>Confirm pressure tapping locations, temperature sensor locations, units, and whether the two furnace-temperature tags are redundant, serial or side-specific before model training.</w:t>
            </w:r>
          </w:p>
        </w:tc>
      </w:tr>
    </w:tbl>
    <w:p w14:paraId="60B47D6F" w14:textId="77777777" w:rsidR="008457B0" w:rsidRDefault="008457B0">
      <w:pPr>
        <w:spacing w:after="0"/>
      </w:pPr>
    </w:p>
    <w:p w14:paraId="073CEFE2" w14:textId="289247C0" w:rsidR="008457B0" w:rsidRDefault="00000000">
      <w:pPr>
        <w:pStyle w:val="Heading1"/>
      </w:pPr>
      <w:r>
        <w:t>Process Relationships to Be Learned</w:t>
      </w:r>
    </w:p>
    <w:p w14:paraId="47CB5B70" w14:textId="7CA030B1" w:rsidR="008457B0" w:rsidRDefault="00000000">
      <w:pPr>
        <w:pStyle w:val="Heading2"/>
      </w:pPr>
      <w:r>
        <w:t>Steam Demand and Required SA Flow</w:t>
      </w:r>
    </w:p>
    <w:p w14:paraId="5F7FA337" w14:textId="77777777" w:rsidR="008457B0" w:rsidRDefault="00000000">
      <w:r>
        <w:t>Total main steam flow is the production reference. Under healthy steady operation, total SA flow should follow a repeatable, load-dependent envelope; the relationship can shift with fuel quality, excess-air strategy, bed condition and PA/SA/TA distribution.</w:t>
      </w:r>
    </w:p>
    <w:tbl>
      <w:tblPr>
        <w:tblStyle w:val="TableGrid"/>
        <w:tblW w:w="0" w:type="auto"/>
        <w:jc w:val="center"/>
        <w:tblLook w:val="04A0" w:firstRow="1" w:lastRow="0" w:firstColumn="1" w:lastColumn="0" w:noHBand="0" w:noVBand="1"/>
      </w:tblPr>
      <w:tblGrid>
        <w:gridCol w:w="10368"/>
      </w:tblGrid>
      <w:tr w:rsidR="008457B0" w14:paraId="675799C0" w14:textId="77777777">
        <w:trPr>
          <w:jc w:val="center"/>
        </w:trPr>
        <w:tc>
          <w:tcPr>
            <w:tcW w:w="10368" w:type="dxa"/>
            <w:shd w:val="clear" w:color="auto" w:fill="D9EAF7"/>
            <w:tcMar>
              <w:top w:w="100" w:type="dxa"/>
              <w:left w:w="120" w:type="dxa"/>
              <w:bottom w:w="100" w:type="dxa"/>
              <w:right w:w="120" w:type="dxa"/>
            </w:tcMar>
            <w:vAlign w:val="center"/>
          </w:tcPr>
          <w:p w14:paraId="3EA5526B" w14:textId="6E1CCE40" w:rsidR="008457B0" w:rsidRDefault="00000000">
            <w:pPr>
              <w:spacing w:after="0"/>
            </w:pPr>
            <w:r>
              <w:rPr>
                <w:b/>
                <w:color w:val="1F4E79"/>
                <w:sz w:val="18"/>
              </w:rPr>
              <w:t xml:space="preserve">Total Main Steam Flow = </w:t>
            </w:r>
            <w:r w:rsidR="007843E5">
              <w:rPr>
                <w:b/>
                <w:color w:val="1F4E79"/>
                <w:sz w:val="18"/>
              </w:rPr>
              <w:t xml:space="preserve">Validated Main </w:t>
            </w:r>
            <w:proofErr w:type="spellStart"/>
            <w:r w:rsidR="007843E5">
              <w:rPr>
                <w:b/>
                <w:color w:val="1F4E79"/>
                <w:sz w:val="18"/>
              </w:rPr>
              <w:t>Steam</w:t>
            </w:r>
            <w:proofErr w:type="spellEnd"/>
            <w:r w:rsidR="007843E5">
              <w:rPr>
                <w:b/>
                <w:color w:val="1F4E79"/>
                <w:sz w:val="18"/>
              </w:rPr>
              <w:t xml:space="preserve"> Flow</w:t>
            </w:r>
          </w:p>
        </w:tc>
      </w:tr>
    </w:tbl>
    <w:p w14:paraId="26B25483"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796887DA" w14:textId="77777777">
        <w:trPr>
          <w:jc w:val="center"/>
        </w:trPr>
        <w:tc>
          <w:tcPr>
            <w:tcW w:w="10368" w:type="dxa"/>
            <w:shd w:val="clear" w:color="auto" w:fill="D9EAF7"/>
            <w:tcMar>
              <w:top w:w="100" w:type="dxa"/>
              <w:left w:w="120" w:type="dxa"/>
              <w:bottom w:w="100" w:type="dxa"/>
              <w:right w:w="120" w:type="dxa"/>
            </w:tcMar>
            <w:vAlign w:val="center"/>
          </w:tcPr>
          <w:p w14:paraId="2260DF70" w14:textId="77777777" w:rsidR="008457B0" w:rsidRDefault="00000000">
            <w:pPr>
              <w:spacing w:after="0"/>
            </w:pPr>
            <w:r>
              <w:rPr>
                <w:b/>
                <w:color w:val="1F4E79"/>
                <w:sz w:val="18"/>
              </w:rPr>
              <w:t>Total SA Flow = SA Flow-A + SA Flow-B</w:t>
            </w:r>
          </w:p>
        </w:tc>
      </w:tr>
    </w:tbl>
    <w:p w14:paraId="3A30B0EE"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1EC89EAF" w14:textId="77777777">
        <w:trPr>
          <w:jc w:val="center"/>
        </w:trPr>
        <w:tc>
          <w:tcPr>
            <w:tcW w:w="10368" w:type="dxa"/>
            <w:shd w:val="clear" w:color="auto" w:fill="D9EAF7"/>
            <w:tcMar>
              <w:top w:w="100" w:type="dxa"/>
              <w:left w:w="120" w:type="dxa"/>
              <w:bottom w:w="100" w:type="dxa"/>
              <w:right w:w="120" w:type="dxa"/>
            </w:tcMar>
            <w:vAlign w:val="center"/>
          </w:tcPr>
          <w:p w14:paraId="79006250" w14:textId="77777777" w:rsidR="008457B0" w:rsidRDefault="00000000">
            <w:pPr>
              <w:spacing w:after="0"/>
            </w:pPr>
            <w:r>
              <w:rPr>
                <w:b/>
                <w:color w:val="1F4E79"/>
                <w:sz w:val="18"/>
              </w:rPr>
              <w:t>Expected Total SA Flow = f(Total Main Steam Flow, operating state)</w:t>
            </w:r>
          </w:p>
        </w:tc>
      </w:tr>
    </w:tbl>
    <w:p w14:paraId="117C70BA" w14:textId="77777777" w:rsidR="008457B0" w:rsidRDefault="008457B0">
      <w:pPr>
        <w:spacing w:after="0"/>
      </w:pPr>
    </w:p>
    <w:p w14:paraId="6DFD382E" w14:textId="08EBE064" w:rsidR="008457B0" w:rsidRDefault="00000000">
      <w:pPr>
        <w:pStyle w:val="Heading2"/>
      </w:pPr>
      <w:r>
        <w:lastRenderedPageBreak/>
        <w:t>Pressure Delivery and Distribution</w:t>
      </w:r>
    </w:p>
    <w:p w14:paraId="266127C9" w14:textId="77777777" w:rsidR="008457B0" w:rsidRDefault="00000000">
      <w:r>
        <w:t>The pressure chain should remain internally consistent from the APH-side measurements to the furnace inlet. A growing pressure drop at comparable flow may indicate APH/duct restriction, damper movement or fouling; reduced pressure without a flow increase may indicate leakage or measurement drift.</w:t>
      </w:r>
    </w:p>
    <w:tbl>
      <w:tblPr>
        <w:tblStyle w:val="TableGrid"/>
        <w:tblW w:w="0" w:type="auto"/>
        <w:jc w:val="center"/>
        <w:tblLook w:val="04A0" w:firstRow="1" w:lastRow="0" w:firstColumn="1" w:lastColumn="0" w:noHBand="0" w:noVBand="1"/>
      </w:tblPr>
      <w:tblGrid>
        <w:gridCol w:w="10368"/>
      </w:tblGrid>
      <w:tr w:rsidR="008457B0" w14:paraId="4D2E5D4E" w14:textId="77777777">
        <w:trPr>
          <w:jc w:val="center"/>
        </w:trPr>
        <w:tc>
          <w:tcPr>
            <w:tcW w:w="10368" w:type="dxa"/>
            <w:shd w:val="clear" w:color="auto" w:fill="D9EAF7"/>
            <w:tcMar>
              <w:top w:w="100" w:type="dxa"/>
              <w:left w:w="120" w:type="dxa"/>
              <w:bottom w:w="100" w:type="dxa"/>
              <w:right w:w="120" w:type="dxa"/>
            </w:tcMar>
            <w:vAlign w:val="center"/>
          </w:tcPr>
          <w:p w14:paraId="78401339" w14:textId="11225D1D" w:rsidR="008457B0" w:rsidRDefault="00000000">
            <w:pPr>
              <w:spacing w:after="0"/>
            </w:pPr>
            <w:r>
              <w:rPr>
                <w:b/>
                <w:color w:val="1F4E79"/>
                <w:sz w:val="18"/>
              </w:rPr>
              <w:t>SA Path Pressure Drop = Representative SA Pressure to APH − SA Pressure to Furnace</w:t>
            </w:r>
            <w:r w:rsidR="00CA4BF9">
              <w:rPr>
                <w:b/>
                <w:color w:val="1F4E79"/>
                <w:sz w:val="18"/>
              </w:rPr>
              <w:t xml:space="preserve"> </w:t>
            </w:r>
            <w:r w:rsidR="00323C19">
              <w:rPr>
                <w:b/>
                <w:color w:val="1F4E79"/>
                <w:sz w:val="18"/>
              </w:rPr>
              <w:t>(Function of SA Flow)</w:t>
            </w:r>
          </w:p>
        </w:tc>
      </w:tr>
    </w:tbl>
    <w:p w14:paraId="06BE4CE3"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65245563" w14:textId="77777777">
        <w:trPr>
          <w:jc w:val="center"/>
        </w:trPr>
        <w:tc>
          <w:tcPr>
            <w:tcW w:w="10368" w:type="dxa"/>
            <w:shd w:val="clear" w:color="auto" w:fill="D9EAF7"/>
            <w:tcMar>
              <w:top w:w="100" w:type="dxa"/>
              <w:left w:w="120" w:type="dxa"/>
              <w:bottom w:w="100" w:type="dxa"/>
              <w:right w:w="120" w:type="dxa"/>
            </w:tcMar>
            <w:vAlign w:val="center"/>
          </w:tcPr>
          <w:p w14:paraId="4D9841E2" w14:textId="77777777" w:rsidR="008457B0" w:rsidRDefault="00000000">
            <w:pPr>
              <w:spacing w:after="0"/>
            </w:pPr>
            <w:r>
              <w:rPr>
                <w:b/>
                <w:color w:val="1F4E79"/>
                <w:sz w:val="18"/>
              </w:rPr>
              <w:t>SA Flow Side Imbalance (%) = (SA Flow-A − SA Flow-B) / [(SA Flow-A + SA Flow-B)/2] × 100</w:t>
            </w:r>
          </w:p>
        </w:tc>
      </w:tr>
    </w:tbl>
    <w:p w14:paraId="3DECB272" w14:textId="77777777" w:rsidR="008457B0" w:rsidRDefault="008457B0">
      <w:pPr>
        <w:spacing w:after="0"/>
      </w:pPr>
    </w:p>
    <w:p w14:paraId="3C86A671" w14:textId="2784DBDE" w:rsidR="008457B0" w:rsidRDefault="00000000">
      <w:pPr>
        <w:pStyle w:val="Heading2"/>
      </w:pPr>
      <w:r>
        <w:t>Temperature Delivery</w:t>
      </w:r>
    </w:p>
    <w:p w14:paraId="14AC0D87" w14:textId="77777777" w:rsidR="008457B0" w:rsidRDefault="00000000">
      <w:r>
        <w:t>SA temperature reflects air-preheater heat pickup and downstream heat loss. The model should learn temperature versus steam demand and operating state rather than apply one fixed target. Side or redundant-sensor divergence should be tracked separately from overall temperature deterioration.</w:t>
      </w:r>
    </w:p>
    <w:tbl>
      <w:tblPr>
        <w:tblStyle w:val="TableGrid"/>
        <w:tblW w:w="0" w:type="auto"/>
        <w:jc w:val="center"/>
        <w:tblLook w:val="04A0" w:firstRow="1" w:lastRow="0" w:firstColumn="1" w:lastColumn="0" w:noHBand="0" w:noVBand="1"/>
      </w:tblPr>
      <w:tblGrid>
        <w:gridCol w:w="10368"/>
      </w:tblGrid>
      <w:tr w:rsidR="008457B0" w14:paraId="4D93258E" w14:textId="77777777">
        <w:trPr>
          <w:jc w:val="center"/>
        </w:trPr>
        <w:tc>
          <w:tcPr>
            <w:tcW w:w="10368" w:type="dxa"/>
            <w:shd w:val="clear" w:color="auto" w:fill="D9EAF7"/>
            <w:tcMar>
              <w:top w:w="100" w:type="dxa"/>
              <w:left w:w="120" w:type="dxa"/>
              <w:bottom w:w="100" w:type="dxa"/>
              <w:right w:w="120" w:type="dxa"/>
            </w:tcMar>
            <w:vAlign w:val="center"/>
          </w:tcPr>
          <w:p w14:paraId="278FAAAB" w14:textId="77777777" w:rsidR="008457B0" w:rsidRDefault="00000000">
            <w:pPr>
              <w:spacing w:after="0"/>
            </w:pPr>
            <w:r>
              <w:rPr>
                <w:b/>
                <w:color w:val="1F4E79"/>
                <w:sz w:val="18"/>
              </w:rPr>
              <w:t>A/B Air-Box Temperature Difference = Air Box Temp-A − Air Box Temp-B</w:t>
            </w:r>
          </w:p>
        </w:tc>
      </w:tr>
    </w:tbl>
    <w:p w14:paraId="2114A4B6"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7A85EAC6" w14:textId="77777777">
        <w:trPr>
          <w:jc w:val="center"/>
        </w:trPr>
        <w:tc>
          <w:tcPr>
            <w:tcW w:w="10368" w:type="dxa"/>
            <w:shd w:val="clear" w:color="auto" w:fill="D9EAF7"/>
            <w:tcMar>
              <w:top w:w="100" w:type="dxa"/>
              <w:left w:w="120" w:type="dxa"/>
              <w:bottom w:w="100" w:type="dxa"/>
              <w:right w:w="120" w:type="dxa"/>
            </w:tcMar>
            <w:vAlign w:val="center"/>
          </w:tcPr>
          <w:p w14:paraId="2FFF91B7" w14:textId="77777777" w:rsidR="008457B0" w:rsidRDefault="00000000">
            <w:pPr>
              <w:spacing w:after="0"/>
            </w:pPr>
            <w:r>
              <w:rPr>
                <w:b/>
                <w:color w:val="1F4E79"/>
                <w:sz w:val="18"/>
              </w:rPr>
              <w:t>Furnace SA Temperature Residual = Actual − Predicted</w:t>
            </w:r>
          </w:p>
        </w:tc>
      </w:tr>
    </w:tbl>
    <w:p w14:paraId="7E8CB133" w14:textId="77777777" w:rsidR="008457B0" w:rsidRDefault="008457B0">
      <w:pPr>
        <w:spacing w:after="0"/>
      </w:pPr>
    </w:p>
    <w:p w14:paraId="7676FAB8" w14:textId="594975E7" w:rsidR="008457B0" w:rsidRDefault="00000000">
      <w:pPr>
        <w:pStyle w:val="Heading1"/>
      </w:pPr>
      <w:r>
        <w:t>Training Relationships and Diagnostic Features</w:t>
      </w:r>
    </w:p>
    <w:tbl>
      <w:tblPr>
        <w:tblStyle w:val="TableGrid"/>
        <w:tblW w:w="0" w:type="auto"/>
        <w:jc w:val="center"/>
        <w:tblLook w:val="04A0" w:firstRow="1" w:lastRow="0" w:firstColumn="1" w:lastColumn="0" w:noHBand="0" w:noVBand="1"/>
      </w:tblPr>
      <w:tblGrid>
        <w:gridCol w:w="2376"/>
        <w:gridCol w:w="3960"/>
        <w:gridCol w:w="4032"/>
      </w:tblGrid>
      <w:tr w:rsidR="008457B0" w14:paraId="5C8993BD" w14:textId="77777777">
        <w:trPr>
          <w:tblHeader/>
          <w:jc w:val="center"/>
        </w:trPr>
        <w:tc>
          <w:tcPr>
            <w:tcW w:w="2376" w:type="dxa"/>
            <w:shd w:val="clear" w:color="auto" w:fill="1F4E79"/>
            <w:tcMar>
              <w:top w:w="100" w:type="dxa"/>
              <w:left w:w="120" w:type="dxa"/>
              <w:bottom w:w="100" w:type="dxa"/>
              <w:right w:w="120" w:type="dxa"/>
            </w:tcMar>
            <w:vAlign w:val="center"/>
          </w:tcPr>
          <w:p w14:paraId="4D7D5529" w14:textId="77777777" w:rsidR="008457B0" w:rsidRDefault="00000000">
            <w:pPr>
              <w:spacing w:after="0"/>
            </w:pPr>
            <w:r>
              <w:rPr>
                <w:b/>
                <w:color w:val="FFFFFF"/>
                <w:sz w:val="18"/>
              </w:rPr>
              <w:t>Relationship</w:t>
            </w:r>
          </w:p>
        </w:tc>
        <w:tc>
          <w:tcPr>
            <w:tcW w:w="3960" w:type="dxa"/>
            <w:shd w:val="clear" w:color="auto" w:fill="1F4E79"/>
            <w:tcMar>
              <w:top w:w="100" w:type="dxa"/>
              <w:left w:w="120" w:type="dxa"/>
              <w:bottom w:w="100" w:type="dxa"/>
              <w:right w:w="120" w:type="dxa"/>
            </w:tcMar>
            <w:vAlign w:val="center"/>
          </w:tcPr>
          <w:p w14:paraId="5C38EA86" w14:textId="77777777" w:rsidR="008457B0" w:rsidRDefault="00000000">
            <w:pPr>
              <w:spacing w:after="0"/>
            </w:pPr>
            <w:r>
              <w:rPr>
                <w:b/>
                <w:color w:val="FFFFFF"/>
                <w:sz w:val="18"/>
              </w:rPr>
              <w:t>Healthy pattern</w:t>
            </w:r>
          </w:p>
        </w:tc>
        <w:tc>
          <w:tcPr>
            <w:tcW w:w="4032" w:type="dxa"/>
            <w:shd w:val="clear" w:color="auto" w:fill="1F4E79"/>
            <w:tcMar>
              <w:top w:w="100" w:type="dxa"/>
              <w:left w:w="120" w:type="dxa"/>
              <w:bottom w:w="100" w:type="dxa"/>
              <w:right w:w="120" w:type="dxa"/>
            </w:tcMar>
            <w:vAlign w:val="center"/>
          </w:tcPr>
          <w:p w14:paraId="0E89EE59" w14:textId="77777777" w:rsidR="008457B0" w:rsidRDefault="00000000">
            <w:pPr>
              <w:spacing w:after="0"/>
            </w:pPr>
            <w:r>
              <w:rPr>
                <w:b/>
                <w:color w:val="FFFFFF"/>
                <w:sz w:val="18"/>
              </w:rPr>
              <w:t>Deviation requiring review</w:t>
            </w:r>
          </w:p>
        </w:tc>
      </w:tr>
      <w:tr w:rsidR="008457B0" w14:paraId="2B81B800" w14:textId="77777777">
        <w:trPr>
          <w:cantSplit/>
          <w:jc w:val="center"/>
        </w:trPr>
        <w:tc>
          <w:tcPr>
            <w:tcW w:w="2376" w:type="dxa"/>
            <w:shd w:val="clear" w:color="auto" w:fill="FFFFFF"/>
            <w:tcMar>
              <w:top w:w="100" w:type="dxa"/>
              <w:left w:w="120" w:type="dxa"/>
              <w:bottom w:w="100" w:type="dxa"/>
              <w:right w:w="120" w:type="dxa"/>
            </w:tcMar>
            <w:vAlign w:val="center"/>
          </w:tcPr>
          <w:p w14:paraId="24F59779" w14:textId="77777777" w:rsidR="008457B0" w:rsidRDefault="00000000">
            <w:pPr>
              <w:spacing w:after="0"/>
            </w:pPr>
            <w:r>
              <w:rPr>
                <w:color w:val="333333"/>
                <w:sz w:val="17"/>
              </w:rPr>
              <w:t>Steam flow vs total SA flow</w:t>
            </w:r>
          </w:p>
        </w:tc>
        <w:tc>
          <w:tcPr>
            <w:tcW w:w="3960" w:type="dxa"/>
            <w:shd w:val="clear" w:color="auto" w:fill="FFFFFF"/>
            <w:tcMar>
              <w:top w:w="100" w:type="dxa"/>
              <w:left w:w="120" w:type="dxa"/>
              <w:bottom w:w="100" w:type="dxa"/>
              <w:right w:w="120" w:type="dxa"/>
            </w:tcMar>
            <w:vAlign w:val="center"/>
          </w:tcPr>
          <w:p w14:paraId="7CC0C050" w14:textId="77777777" w:rsidR="008457B0" w:rsidRDefault="00000000">
            <w:pPr>
              <w:spacing w:after="0"/>
            </w:pPr>
            <w:r>
              <w:rPr>
                <w:color w:val="333333"/>
                <w:sz w:val="17"/>
              </w:rPr>
              <w:t>Repeatable nonlinear envelope by load band.</w:t>
            </w:r>
          </w:p>
        </w:tc>
        <w:tc>
          <w:tcPr>
            <w:tcW w:w="4032" w:type="dxa"/>
            <w:shd w:val="clear" w:color="auto" w:fill="FFFFFF"/>
            <w:tcMar>
              <w:top w:w="100" w:type="dxa"/>
              <w:left w:w="120" w:type="dxa"/>
              <w:bottom w:w="100" w:type="dxa"/>
              <w:right w:w="120" w:type="dxa"/>
            </w:tcMar>
            <w:vAlign w:val="center"/>
          </w:tcPr>
          <w:p w14:paraId="099EC895" w14:textId="77777777" w:rsidR="008457B0" w:rsidRDefault="00000000">
            <w:pPr>
              <w:spacing w:after="0"/>
            </w:pPr>
            <w:r>
              <w:rPr>
                <w:color w:val="333333"/>
                <w:sz w:val="17"/>
              </w:rPr>
              <w:t>Sustained high/low SA flow for the same steam demand.</w:t>
            </w:r>
          </w:p>
        </w:tc>
      </w:tr>
      <w:tr w:rsidR="008457B0" w14:paraId="021A4293" w14:textId="77777777">
        <w:trPr>
          <w:cantSplit/>
          <w:jc w:val="center"/>
        </w:trPr>
        <w:tc>
          <w:tcPr>
            <w:tcW w:w="2376" w:type="dxa"/>
            <w:shd w:val="clear" w:color="auto" w:fill="F7F9FB"/>
            <w:tcMar>
              <w:top w:w="100" w:type="dxa"/>
              <w:left w:w="120" w:type="dxa"/>
              <w:bottom w:w="100" w:type="dxa"/>
              <w:right w:w="120" w:type="dxa"/>
            </w:tcMar>
            <w:vAlign w:val="center"/>
          </w:tcPr>
          <w:p w14:paraId="2A7C907F" w14:textId="77777777" w:rsidR="008457B0" w:rsidRDefault="00000000">
            <w:pPr>
              <w:spacing w:after="0"/>
            </w:pPr>
            <w:r>
              <w:rPr>
                <w:color w:val="333333"/>
                <w:sz w:val="17"/>
              </w:rPr>
              <w:t>SA flow A vs B</w:t>
            </w:r>
          </w:p>
        </w:tc>
        <w:tc>
          <w:tcPr>
            <w:tcW w:w="3960" w:type="dxa"/>
            <w:shd w:val="clear" w:color="auto" w:fill="F7F9FB"/>
            <w:tcMar>
              <w:top w:w="100" w:type="dxa"/>
              <w:left w:w="120" w:type="dxa"/>
              <w:bottom w:w="100" w:type="dxa"/>
              <w:right w:w="120" w:type="dxa"/>
            </w:tcMar>
            <w:vAlign w:val="center"/>
          </w:tcPr>
          <w:p w14:paraId="07C03055" w14:textId="77777777" w:rsidR="008457B0" w:rsidRDefault="00000000">
            <w:pPr>
              <w:spacing w:after="0"/>
            </w:pPr>
            <w:r>
              <w:rPr>
                <w:color w:val="333333"/>
                <w:sz w:val="17"/>
              </w:rPr>
              <w:t>Stable normalized split for comparable side duty.</w:t>
            </w:r>
          </w:p>
        </w:tc>
        <w:tc>
          <w:tcPr>
            <w:tcW w:w="4032" w:type="dxa"/>
            <w:shd w:val="clear" w:color="auto" w:fill="F7F9FB"/>
            <w:tcMar>
              <w:top w:w="100" w:type="dxa"/>
              <w:left w:w="120" w:type="dxa"/>
              <w:bottom w:w="100" w:type="dxa"/>
              <w:right w:w="120" w:type="dxa"/>
            </w:tcMar>
            <w:vAlign w:val="center"/>
          </w:tcPr>
          <w:p w14:paraId="730AD856" w14:textId="77777777" w:rsidR="008457B0" w:rsidRDefault="00000000">
            <w:pPr>
              <w:spacing w:after="0"/>
            </w:pPr>
            <w:r>
              <w:rPr>
                <w:color w:val="333333"/>
                <w:sz w:val="17"/>
              </w:rPr>
              <w:t>Persistent imbalance or progressive drift.</w:t>
            </w:r>
          </w:p>
        </w:tc>
      </w:tr>
      <w:tr w:rsidR="008457B0" w14:paraId="380B4EC3" w14:textId="77777777">
        <w:trPr>
          <w:cantSplit/>
          <w:jc w:val="center"/>
        </w:trPr>
        <w:tc>
          <w:tcPr>
            <w:tcW w:w="2376" w:type="dxa"/>
            <w:shd w:val="clear" w:color="auto" w:fill="FFFFFF"/>
            <w:tcMar>
              <w:top w:w="100" w:type="dxa"/>
              <w:left w:w="120" w:type="dxa"/>
              <w:bottom w:w="100" w:type="dxa"/>
              <w:right w:w="120" w:type="dxa"/>
            </w:tcMar>
            <w:vAlign w:val="center"/>
          </w:tcPr>
          <w:p w14:paraId="4478A119" w14:textId="77777777" w:rsidR="008457B0" w:rsidRDefault="00000000">
            <w:pPr>
              <w:spacing w:after="0"/>
            </w:pPr>
            <w:r>
              <w:rPr>
                <w:color w:val="333333"/>
                <w:sz w:val="17"/>
              </w:rPr>
              <w:t>Flow vs pressure</w:t>
            </w:r>
          </w:p>
        </w:tc>
        <w:tc>
          <w:tcPr>
            <w:tcW w:w="3960" w:type="dxa"/>
            <w:shd w:val="clear" w:color="auto" w:fill="FFFFFF"/>
            <w:tcMar>
              <w:top w:w="100" w:type="dxa"/>
              <w:left w:w="120" w:type="dxa"/>
              <w:bottom w:w="100" w:type="dxa"/>
              <w:right w:w="120" w:type="dxa"/>
            </w:tcMar>
            <w:vAlign w:val="center"/>
          </w:tcPr>
          <w:p w14:paraId="62C90F8D" w14:textId="37235A4B" w:rsidR="008457B0" w:rsidRDefault="00000000">
            <w:pPr>
              <w:spacing w:after="0"/>
            </w:pPr>
            <w:r>
              <w:rPr>
                <w:color w:val="333333"/>
                <w:sz w:val="17"/>
              </w:rPr>
              <w:t>Repeatable pressure requirement for delivered flow.</w:t>
            </w:r>
            <w:r w:rsidR="00AF7B6D">
              <w:rPr>
                <w:color w:val="333333"/>
                <w:sz w:val="17"/>
              </w:rPr>
              <w:t>SA Fan Dis</w:t>
            </w:r>
          </w:p>
        </w:tc>
        <w:tc>
          <w:tcPr>
            <w:tcW w:w="4032" w:type="dxa"/>
            <w:shd w:val="clear" w:color="auto" w:fill="FFFFFF"/>
            <w:tcMar>
              <w:top w:w="100" w:type="dxa"/>
              <w:left w:w="120" w:type="dxa"/>
              <w:bottom w:w="100" w:type="dxa"/>
              <w:right w:w="120" w:type="dxa"/>
            </w:tcMar>
            <w:vAlign w:val="center"/>
          </w:tcPr>
          <w:p w14:paraId="56669267" w14:textId="77777777" w:rsidR="008457B0" w:rsidRDefault="00000000">
            <w:pPr>
              <w:spacing w:after="0"/>
            </w:pPr>
            <w:r>
              <w:rPr>
                <w:color w:val="333333"/>
                <w:sz w:val="17"/>
              </w:rPr>
              <w:t xml:space="preserve">Higher pressure </w:t>
            </w:r>
            <w:proofErr w:type="gramStart"/>
            <w:r>
              <w:rPr>
                <w:color w:val="333333"/>
                <w:sz w:val="17"/>
              </w:rPr>
              <w:t>drop</w:t>
            </w:r>
            <w:proofErr w:type="gramEnd"/>
            <w:r>
              <w:rPr>
                <w:color w:val="333333"/>
                <w:sz w:val="17"/>
              </w:rPr>
              <w:t xml:space="preserve"> at similar flow or </w:t>
            </w:r>
            <w:proofErr w:type="gramStart"/>
            <w:r>
              <w:rPr>
                <w:color w:val="333333"/>
                <w:sz w:val="17"/>
              </w:rPr>
              <w:t>reduced</w:t>
            </w:r>
            <w:proofErr w:type="gramEnd"/>
            <w:r>
              <w:rPr>
                <w:color w:val="333333"/>
                <w:sz w:val="17"/>
              </w:rPr>
              <w:t xml:space="preserve"> flow at similar upstream pressure.</w:t>
            </w:r>
          </w:p>
        </w:tc>
      </w:tr>
      <w:tr w:rsidR="008457B0" w14:paraId="1BA05B72" w14:textId="77777777">
        <w:trPr>
          <w:cantSplit/>
          <w:jc w:val="center"/>
        </w:trPr>
        <w:tc>
          <w:tcPr>
            <w:tcW w:w="2376" w:type="dxa"/>
            <w:shd w:val="clear" w:color="auto" w:fill="F7F9FB"/>
            <w:tcMar>
              <w:top w:w="100" w:type="dxa"/>
              <w:left w:w="120" w:type="dxa"/>
              <w:bottom w:w="100" w:type="dxa"/>
              <w:right w:w="120" w:type="dxa"/>
            </w:tcMar>
            <w:vAlign w:val="center"/>
          </w:tcPr>
          <w:p w14:paraId="24D96469" w14:textId="77777777" w:rsidR="008457B0" w:rsidRDefault="00000000">
            <w:pPr>
              <w:spacing w:after="0"/>
            </w:pPr>
            <w:r>
              <w:rPr>
                <w:color w:val="333333"/>
                <w:sz w:val="17"/>
              </w:rPr>
              <w:t>APH-side vs furnace pressure</w:t>
            </w:r>
          </w:p>
        </w:tc>
        <w:tc>
          <w:tcPr>
            <w:tcW w:w="3960" w:type="dxa"/>
            <w:shd w:val="clear" w:color="auto" w:fill="F7F9FB"/>
            <w:tcMar>
              <w:top w:w="100" w:type="dxa"/>
              <w:left w:w="120" w:type="dxa"/>
              <w:bottom w:w="100" w:type="dxa"/>
              <w:right w:w="120" w:type="dxa"/>
            </w:tcMar>
            <w:vAlign w:val="center"/>
          </w:tcPr>
          <w:p w14:paraId="42EDD441" w14:textId="77777777" w:rsidR="008457B0" w:rsidRDefault="00000000">
            <w:pPr>
              <w:spacing w:after="0"/>
            </w:pPr>
            <w:r>
              <w:rPr>
                <w:color w:val="333333"/>
                <w:sz w:val="17"/>
              </w:rPr>
              <w:t>Stable path loss by flow/load band.</w:t>
            </w:r>
          </w:p>
        </w:tc>
        <w:tc>
          <w:tcPr>
            <w:tcW w:w="4032" w:type="dxa"/>
            <w:shd w:val="clear" w:color="auto" w:fill="F7F9FB"/>
            <w:tcMar>
              <w:top w:w="100" w:type="dxa"/>
              <w:left w:w="120" w:type="dxa"/>
              <w:bottom w:w="100" w:type="dxa"/>
              <w:right w:w="120" w:type="dxa"/>
            </w:tcMar>
            <w:vAlign w:val="center"/>
          </w:tcPr>
          <w:p w14:paraId="38F49FB9" w14:textId="77777777" w:rsidR="008457B0" w:rsidRDefault="00000000">
            <w:pPr>
              <w:spacing w:after="0"/>
            </w:pPr>
            <w:r>
              <w:rPr>
                <w:color w:val="333333"/>
                <w:sz w:val="17"/>
              </w:rPr>
              <w:t>Increasing path pressure loss or unexpected pressure collapse.</w:t>
            </w:r>
          </w:p>
        </w:tc>
      </w:tr>
      <w:tr w:rsidR="008457B0" w14:paraId="7598D4EE" w14:textId="77777777">
        <w:trPr>
          <w:cantSplit/>
          <w:jc w:val="center"/>
        </w:trPr>
        <w:tc>
          <w:tcPr>
            <w:tcW w:w="2376" w:type="dxa"/>
            <w:shd w:val="clear" w:color="auto" w:fill="FFFFFF"/>
            <w:tcMar>
              <w:top w:w="100" w:type="dxa"/>
              <w:left w:w="120" w:type="dxa"/>
              <w:bottom w:w="100" w:type="dxa"/>
              <w:right w:w="120" w:type="dxa"/>
            </w:tcMar>
            <w:vAlign w:val="center"/>
          </w:tcPr>
          <w:p w14:paraId="71E0D2B8" w14:textId="77777777" w:rsidR="008457B0" w:rsidRDefault="00000000">
            <w:pPr>
              <w:spacing w:after="0"/>
            </w:pPr>
            <w:r>
              <w:rPr>
                <w:color w:val="333333"/>
                <w:sz w:val="17"/>
              </w:rPr>
              <w:t>Steam flow vs SA temperature</w:t>
            </w:r>
          </w:p>
        </w:tc>
        <w:tc>
          <w:tcPr>
            <w:tcW w:w="3960" w:type="dxa"/>
            <w:shd w:val="clear" w:color="auto" w:fill="FFFFFF"/>
            <w:tcMar>
              <w:top w:w="100" w:type="dxa"/>
              <w:left w:w="120" w:type="dxa"/>
              <w:bottom w:w="100" w:type="dxa"/>
              <w:right w:w="120" w:type="dxa"/>
            </w:tcMar>
            <w:vAlign w:val="center"/>
          </w:tcPr>
          <w:p w14:paraId="5900C06C" w14:textId="77777777" w:rsidR="008457B0" w:rsidRDefault="00000000">
            <w:pPr>
              <w:spacing w:after="0"/>
            </w:pPr>
            <w:r>
              <w:rPr>
                <w:color w:val="333333"/>
                <w:sz w:val="17"/>
              </w:rPr>
              <w:t>Stable heat-pickup envelope by operating state.</w:t>
            </w:r>
          </w:p>
        </w:tc>
        <w:tc>
          <w:tcPr>
            <w:tcW w:w="4032" w:type="dxa"/>
            <w:shd w:val="clear" w:color="auto" w:fill="FFFFFF"/>
            <w:tcMar>
              <w:top w:w="100" w:type="dxa"/>
              <w:left w:w="120" w:type="dxa"/>
              <w:bottom w:w="100" w:type="dxa"/>
              <w:right w:w="120" w:type="dxa"/>
            </w:tcMar>
            <w:vAlign w:val="center"/>
          </w:tcPr>
          <w:p w14:paraId="0CE2D883" w14:textId="77777777" w:rsidR="008457B0" w:rsidRDefault="00000000">
            <w:pPr>
              <w:spacing w:after="0"/>
            </w:pPr>
            <w:r>
              <w:rPr>
                <w:color w:val="333333"/>
                <w:sz w:val="17"/>
              </w:rPr>
              <w:t>Sustained low/high delivery temperature.</w:t>
            </w:r>
          </w:p>
        </w:tc>
      </w:tr>
      <w:tr w:rsidR="008457B0" w14:paraId="05746736" w14:textId="77777777">
        <w:trPr>
          <w:cantSplit/>
          <w:jc w:val="center"/>
        </w:trPr>
        <w:tc>
          <w:tcPr>
            <w:tcW w:w="2376" w:type="dxa"/>
            <w:shd w:val="clear" w:color="auto" w:fill="F7F9FB"/>
            <w:tcMar>
              <w:top w:w="100" w:type="dxa"/>
              <w:left w:w="120" w:type="dxa"/>
              <w:bottom w:w="100" w:type="dxa"/>
              <w:right w:w="120" w:type="dxa"/>
            </w:tcMar>
            <w:vAlign w:val="center"/>
          </w:tcPr>
          <w:p w14:paraId="032DA946" w14:textId="77777777" w:rsidR="008457B0" w:rsidRDefault="00000000">
            <w:pPr>
              <w:spacing w:after="0"/>
            </w:pPr>
            <w:r>
              <w:rPr>
                <w:color w:val="333333"/>
                <w:sz w:val="17"/>
              </w:rPr>
              <w:t>Temperature A vs B / sensors</w:t>
            </w:r>
          </w:p>
        </w:tc>
        <w:tc>
          <w:tcPr>
            <w:tcW w:w="3960" w:type="dxa"/>
            <w:shd w:val="clear" w:color="auto" w:fill="F7F9FB"/>
            <w:tcMar>
              <w:top w:w="100" w:type="dxa"/>
              <w:left w:w="120" w:type="dxa"/>
              <w:bottom w:w="100" w:type="dxa"/>
              <w:right w:w="120" w:type="dxa"/>
            </w:tcMar>
            <w:vAlign w:val="center"/>
          </w:tcPr>
          <w:p w14:paraId="09C38AD2" w14:textId="77777777" w:rsidR="008457B0" w:rsidRDefault="00000000">
            <w:pPr>
              <w:spacing w:after="0"/>
            </w:pPr>
            <w:r>
              <w:rPr>
                <w:color w:val="333333"/>
                <w:sz w:val="17"/>
              </w:rPr>
              <w:t>Stable side or sensor difference.</w:t>
            </w:r>
          </w:p>
        </w:tc>
        <w:tc>
          <w:tcPr>
            <w:tcW w:w="4032" w:type="dxa"/>
            <w:shd w:val="clear" w:color="auto" w:fill="F7F9FB"/>
            <w:tcMar>
              <w:top w:w="100" w:type="dxa"/>
              <w:left w:w="120" w:type="dxa"/>
              <w:bottom w:w="100" w:type="dxa"/>
              <w:right w:w="120" w:type="dxa"/>
            </w:tcMar>
            <w:vAlign w:val="center"/>
          </w:tcPr>
          <w:p w14:paraId="2DB14A19" w14:textId="77777777" w:rsidR="008457B0" w:rsidRDefault="00000000">
            <w:pPr>
              <w:spacing w:after="0"/>
            </w:pPr>
            <w:r>
              <w:rPr>
                <w:color w:val="333333"/>
                <w:sz w:val="17"/>
              </w:rPr>
              <w:t>Divergence, frozen value, common-mode shift or implausible step.</w:t>
            </w:r>
          </w:p>
        </w:tc>
      </w:tr>
      <w:tr w:rsidR="008457B0" w14:paraId="05BB3A5E" w14:textId="77777777">
        <w:trPr>
          <w:cantSplit/>
          <w:jc w:val="center"/>
        </w:trPr>
        <w:tc>
          <w:tcPr>
            <w:tcW w:w="2376" w:type="dxa"/>
            <w:shd w:val="clear" w:color="auto" w:fill="FFFFFF"/>
            <w:tcMar>
              <w:top w:w="100" w:type="dxa"/>
              <w:left w:w="120" w:type="dxa"/>
              <w:bottom w:w="100" w:type="dxa"/>
              <w:right w:w="120" w:type="dxa"/>
            </w:tcMar>
            <w:vAlign w:val="center"/>
          </w:tcPr>
          <w:p w14:paraId="5DA82771" w14:textId="77777777" w:rsidR="008457B0" w:rsidRDefault="00000000">
            <w:pPr>
              <w:spacing w:after="0"/>
            </w:pPr>
            <w:r>
              <w:rPr>
                <w:color w:val="333333"/>
                <w:sz w:val="17"/>
              </w:rPr>
              <w:t>Cross-cluster consistency</w:t>
            </w:r>
          </w:p>
        </w:tc>
        <w:tc>
          <w:tcPr>
            <w:tcW w:w="3960" w:type="dxa"/>
            <w:shd w:val="clear" w:color="auto" w:fill="FFFFFF"/>
            <w:tcMar>
              <w:top w:w="100" w:type="dxa"/>
              <w:left w:w="120" w:type="dxa"/>
              <w:bottom w:w="100" w:type="dxa"/>
              <w:right w:w="120" w:type="dxa"/>
            </w:tcMar>
            <w:vAlign w:val="center"/>
          </w:tcPr>
          <w:p w14:paraId="16FE11AD" w14:textId="77777777" w:rsidR="008457B0" w:rsidRDefault="00000000">
            <w:pPr>
              <w:spacing w:after="0"/>
            </w:pPr>
            <w:r>
              <w:rPr>
                <w:color w:val="333333"/>
                <w:sz w:val="17"/>
              </w:rPr>
              <w:t>SA delivery agrees with fan/draft and combustion response.</w:t>
            </w:r>
          </w:p>
        </w:tc>
        <w:tc>
          <w:tcPr>
            <w:tcW w:w="4032" w:type="dxa"/>
            <w:shd w:val="clear" w:color="auto" w:fill="FFFFFF"/>
            <w:tcMar>
              <w:top w:w="100" w:type="dxa"/>
              <w:left w:w="120" w:type="dxa"/>
              <w:bottom w:w="100" w:type="dxa"/>
              <w:right w:w="120" w:type="dxa"/>
            </w:tcMar>
            <w:vAlign w:val="center"/>
          </w:tcPr>
          <w:p w14:paraId="2BF8E022" w14:textId="77777777" w:rsidR="008457B0" w:rsidRDefault="00000000">
            <w:pPr>
              <w:spacing w:after="0"/>
            </w:pPr>
            <w:r>
              <w:rPr>
                <w:color w:val="333333"/>
                <w:sz w:val="17"/>
              </w:rPr>
              <w:t>Distribution residual without corresponding fan-demand change.</w:t>
            </w:r>
          </w:p>
        </w:tc>
      </w:tr>
    </w:tbl>
    <w:p w14:paraId="7ABADC98" w14:textId="77777777" w:rsidR="008457B0" w:rsidRDefault="008457B0">
      <w:pPr>
        <w:spacing w:after="0"/>
      </w:pPr>
    </w:p>
    <w:p w14:paraId="6DADB91D" w14:textId="723CF349" w:rsidR="008457B0" w:rsidRDefault="00000000">
      <w:pPr>
        <w:pStyle w:val="Heading2"/>
      </w:pPr>
      <w:r>
        <w:t>Recommended Calculated Indicators</w:t>
      </w:r>
    </w:p>
    <w:tbl>
      <w:tblPr>
        <w:tblStyle w:val="TableGrid"/>
        <w:tblW w:w="0" w:type="auto"/>
        <w:jc w:val="center"/>
        <w:tblLook w:val="04A0" w:firstRow="1" w:lastRow="0" w:firstColumn="1" w:lastColumn="0" w:noHBand="0" w:noVBand="1"/>
      </w:tblPr>
      <w:tblGrid>
        <w:gridCol w:w="10368"/>
      </w:tblGrid>
      <w:tr w:rsidR="008457B0" w14:paraId="672B784E" w14:textId="77777777">
        <w:trPr>
          <w:jc w:val="center"/>
        </w:trPr>
        <w:tc>
          <w:tcPr>
            <w:tcW w:w="10368" w:type="dxa"/>
            <w:shd w:val="clear" w:color="auto" w:fill="D9EAF7"/>
            <w:tcMar>
              <w:top w:w="100" w:type="dxa"/>
              <w:left w:w="120" w:type="dxa"/>
              <w:bottom w:w="100" w:type="dxa"/>
              <w:right w:w="120" w:type="dxa"/>
            </w:tcMar>
            <w:vAlign w:val="center"/>
          </w:tcPr>
          <w:p w14:paraId="3CA37E27" w14:textId="77777777" w:rsidR="008457B0" w:rsidRDefault="00000000">
            <w:pPr>
              <w:spacing w:after="0"/>
            </w:pPr>
            <w:r>
              <w:rPr>
                <w:b/>
                <w:color w:val="1F4E79"/>
                <w:sz w:val="18"/>
              </w:rPr>
              <w:t>SA Flow Deviation (%) = (Actual Total SA Flow − Predicted Total SA Flow) / Predicted Total SA Flow × 100</w:t>
            </w:r>
          </w:p>
        </w:tc>
      </w:tr>
    </w:tbl>
    <w:p w14:paraId="09B335E2"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5E9F6473" w14:textId="77777777">
        <w:trPr>
          <w:jc w:val="center"/>
        </w:trPr>
        <w:tc>
          <w:tcPr>
            <w:tcW w:w="10368" w:type="dxa"/>
            <w:shd w:val="clear" w:color="auto" w:fill="D9EAF7"/>
            <w:tcMar>
              <w:top w:w="100" w:type="dxa"/>
              <w:left w:w="120" w:type="dxa"/>
              <w:bottom w:w="100" w:type="dxa"/>
              <w:right w:w="120" w:type="dxa"/>
            </w:tcMar>
            <w:vAlign w:val="center"/>
          </w:tcPr>
          <w:p w14:paraId="3B26E802" w14:textId="77777777" w:rsidR="008457B0" w:rsidRDefault="00000000">
            <w:pPr>
              <w:spacing w:after="0"/>
            </w:pPr>
            <w:r>
              <w:rPr>
                <w:b/>
                <w:color w:val="1F4E79"/>
                <w:sz w:val="18"/>
              </w:rPr>
              <w:t>SA Pressure-Loss Deviation = Actual Path Pressure Drop − Predicted Path Pressure Drop</w:t>
            </w:r>
          </w:p>
        </w:tc>
      </w:tr>
    </w:tbl>
    <w:p w14:paraId="23DD73CF" w14:textId="77777777" w:rsidR="008457B0" w:rsidRDefault="008457B0">
      <w:pPr>
        <w:spacing w:after="0"/>
      </w:pPr>
    </w:p>
    <w:tbl>
      <w:tblPr>
        <w:tblStyle w:val="TableGrid"/>
        <w:tblW w:w="0" w:type="auto"/>
        <w:jc w:val="center"/>
        <w:tblLook w:val="04A0" w:firstRow="1" w:lastRow="0" w:firstColumn="1" w:lastColumn="0" w:noHBand="0" w:noVBand="1"/>
      </w:tblPr>
      <w:tblGrid>
        <w:gridCol w:w="10368"/>
      </w:tblGrid>
      <w:tr w:rsidR="008457B0" w14:paraId="6DF0610E" w14:textId="77777777">
        <w:trPr>
          <w:jc w:val="center"/>
        </w:trPr>
        <w:tc>
          <w:tcPr>
            <w:tcW w:w="10368" w:type="dxa"/>
            <w:shd w:val="clear" w:color="auto" w:fill="D9EAF7"/>
            <w:tcMar>
              <w:top w:w="100" w:type="dxa"/>
              <w:left w:w="120" w:type="dxa"/>
              <w:bottom w:w="100" w:type="dxa"/>
              <w:right w:w="120" w:type="dxa"/>
            </w:tcMar>
            <w:vAlign w:val="center"/>
          </w:tcPr>
          <w:p w14:paraId="01B0927C" w14:textId="77777777" w:rsidR="008457B0" w:rsidRDefault="00000000">
            <w:pPr>
              <w:spacing w:after="0"/>
            </w:pPr>
            <w:r>
              <w:rPr>
                <w:b/>
                <w:color w:val="1F4E79"/>
                <w:sz w:val="18"/>
              </w:rPr>
              <w:t>SA Temperature Deviation (%) = (Actual Temperature − Predicted Temperature) / Predicted Temperature × 100</w:t>
            </w:r>
          </w:p>
        </w:tc>
      </w:tr>
    </w:tbl>
    <w:p w14:paraId="39C85744" w14:textId="77777777" w:rsidR="008457B0" w:rsidRDefault="008457B0">
      <w:pPr>
        <w:spacing w:after="0"/>
      </w:pPr>
    </w:p>
    <w:p w14:paraId="342B3B92" w14:textId="77777777" w:rsidR="00DF1026" w:rsidRDefault="00DF1026">
      <w:pPr>
        <w:pStyle w:val="Heading1"/>
      </w:pPr>
    </w:p>
    <w:p w14:paraId="7B59A69B" w14:textId="2C259A82" w:rsidR="00DF1026" w:rsidRDefault="00D1512D" w:rsidP="00DF1026">
      <w:r>
        <w:t xml:space="preserve">Residual of </w:t>
      </w:r>
      <w:r w:rsidR="006E6BE8">
        <w:t xml:space="preserve">all measurements must be within acceptable </w:t>
      </w:r>
      <w:r w:rsidR="00A17D72">
        <w:t>band. If</w:t>
      </w:r>
      <w:r w:rsidR="00787AE1">
        <w:t xml:space="preserve"> residual </w:t>
      </w:r>
      <w:r w:rsidR="00A17D72">
        <w:t>is within acceptable limit incoming value is validated</w:t>
      </w:r>
      <w:r w:rsidR="001F5B82">
        <w:t xml:space="preserve">. Reason of deviation can be analyzed </w:t>
      </w:r>
      <w:r w:rsidR="00A92B81">
        <w:t>in a separate RCA module.</w:t>
      </w:r>
    </w:p>
    <w:p w14:paraId="5664BB98" w14:textId="77777777" w:rsidR="00DF1026" w:rsidRDefault="00DF1026">
      <w:pPr>
        <w:pStyle w:val="Heading1"/>
      </w:pPr>
    </w:p>
    <w:p w14:paraId="55C89BF3" w14:textId="1CC5413E" w:rsidR="008457B0" w:rsidRDefault="00000000">
      <w:pPr>
        <w:pStyle w:val="Heading1"/>
      </w:pPr>
      <w:r>
        <w:t>Training Data Preparation</w:t>
      </w:r>
    </w:p>
    <w:p w14:paraId="0C13A7BA" w14:textId="77777777" w:rsidR="008457B0" w:rsidRDefault="00000000">
      <w:pPr>
        <w:pStyle w:val="ListBullet"/>
        <w:spacing w:after="60"/>
      </w:pPr>
      <w:r>
        <w:t>Synchronize steam flows, SA pressures, flows and temperatures to a common timestamp and sample interval.</w:t>
      </w:r>
    </w:p>
    <w:p w14:paraId="13D5F55D" w14:textId="77777777" w:rsidR="008457B0" w:rsidRDefault="00000000">
      <w:pPr>
        <w:pStyle w:val="ListBullet"/>
        <w:spacing w:after="60"/>
      </w:pPr>
      <w:r>
        <w:t>Classify steady load, ramp-up/down, low load, start-up, shutdown, fan/damper changeover and manual-control periods.</w:t>
      </w:r>
    </w:p>
    <w:p w14:paraId="1232B2F3" w14:textId="77777777" w:rsidR="008457B0" w:rsidRDefault="00000000">
      <w:pPr>
        <w:pStyle w:val="ListBullet"/>
        <w:spacing w:after="60"/>
      </w:pPr>
      <w:r>
        <w:t>Remove bad-quality, frozen, missing, impossible and maintenance-affected values; do not interpolate long gaps.</w:t>
      </w:r>
    </w:p>
    <w:p w14:paraId="4DC30F0C" w14:textId="77777777" w:rsidR="008457B0" w:rsidRDefault="00000000">
      <w:pPr>
        <w:pStyle w:val="ListBullet"/>
        <w:spacing w:after="60"/>
      </w:pPr>
      <w:r>
        <w:t>Balance healthy training data across load bands and normal A/B configurations.</w:t>
      </w:r>
    </w:p>
    <w:p w14:paraId="4F2530A6" w14:textId="77777777" w:rsidR="008457B0" w:rsidRDefault="00000000">
      <w:pPr>
        <w:pStyle w:val="ListBullet"/>
        <w:spacing w:after="60"/>
      </w:pPr>
      <w:r>
        <w:t>Retain known degraded or fouled periods for independent detection testing, not healthy training.</w:t>
      </w:r>
    </w:p>
    <w:tbl>
      <w:tblPr>
        <w:tblStyle w:val="TableGrid"/>
        <w:tblW w:w="0" w:type="auto"/>
        <w:jc w:val="center"/>
        <w:tblLook w:val="04A0" w:firstRow="1" w:lastRow="0" w:firstColumn="1" w:lastColumn="0" w:noHBand="0" w:noVBand="1"/>
      </w:tblPr>
      <w:tblGrid>
        <w:gridCol w:w="10368"/>
      </w:tblGrid>
      <w:tr w:rsidR="008457B0" w14:paraId="7DB474B1" w14:textId="77777777">
        <w:trPr>
          <w:jc w:val="center"/>
        </w:trPr>
        <w:tc>
          <w:tcPr>
            <w:tcW w:w="10368" w:type="dxa"/>
            <w:shd w:val="clear" w:color="auto" w:fill="FFF2CC"/>
            <w:tcMar>
              <w:top w:w="140" w:type="dxa"/>
              <w:left w:w="160" w:type="dxa"/>
              <w:bottom w:w="140" w:type="dxa"/>
              <w:right w:w="160" w:type="dxa"/>
            </w:tcMar>
          </w:tcPr>
          <w:p w14:paraId="60C842B8" w14:textId="5185C3BE" w:rsidR="008457B0" w:rsidRDefault="00000000">
            <w:r>
              <w:rPr>
                <w:b/>
                <w:color w:val="1F4E79"/>
              </w:rPr>
              <w:t xml:space="preserve">Model boundary: </w:t>
            </w:r>
            <w:r>
              <w:rPr>
                <w:sz w:val="18"/>
              </w:rPr>
              <w:t xml:space="preserve">Cluster </w:t>
            </w:r>
            <w:r w:rsidR="008760BE">
              <w:rPr>
                <w:sz w:val="18"/>
              </w:rPr>
              <w:t>8</w:t>
            </w:r>
            <w:r>
              <w:rPr>
                <w:sz w:val="18"/>
              </w:rPr>
              <w:t xml:space="preserve"> isolates SA distribution performance. </w:t>
            </w:r>
          </w:p>
        </w:tc>
      </w:tr>
    </w:tbl>
    <w:p w14:paraId="0EEDA111" w14:textId="77777777" w:rsidR="008457B0" w:rsidRDefault="008457B0">
      <w:pPr>
        <w:spacing w:after="0"/>
      </w:pPr>
    </w:p>
    <w:p w14:paraId="4D48B8E8" w14:textId="096B2D7F" w:rsidR="008457B0" w:rsidRDefault="00000000">
      <w:pPr>
        <w:pStyle w:val="Heading1"/>
      </w:pPr>
      <w:r>
        <w:t>Data Validation Framework</w:t>
      </w:r>
    </w:p>
    <w:tbl>
      <w:tblPr>
        <w:tblStyle w:val="TableGrid"/>
        <w:tblW w:w="0" w:type="auto"/>
        <w:jc w:val="center"/>
        <w:tblLook w:val="04A0" w:firstRow="1" w:lastRow="0" w:firstColumn="1" w:lastColumn="0" w:noHBand="0" w:noVBand="1"/>
      </w:tblPr>
      <w:tblGrid>
        <w:gridCol w:w="2016"/>
        <w:gridCol w:w="8352"/>
      </w:tblGrid>
      <w:tr w:rsidR="008457B0" w14:paraId="58B8B8CC" w14:textId="77777777">
        <w:trPr>
          <w:tblHeader/>
          <w:jc w:val="center"/>
        </w:trPr>
        <w:tc>
          <w:tcPr>
            <w:tcW w:w="2016" w:type="dxa"/>
            <w:shd w:val="clear" w:color="auto" w:fill="1F4E79"/>
            <w:tcMar>
              <w:top w:w="100" w:type="dxa"/>
              <w:left w:w="120" w:type="dxa"/>
              <w:bottom w:w="100" w:type="dxa"/>
              <w:right w:w="120" w:type="dxa"/>
            </w:tcMar>
            <w:vAlign w:val="center"/>
          </w:tcPr>
          <w:p w14:paraId="79EA6ACE" w14:textId="77777777" w:rsidR="008457B0" w:rsidRDefault="00000000">
            <w:pPr>
              <w:spacing w:after="0"/>
            </w:pPr>
            <w:r>
              <w:rPr>
                <w:b/>
                <w:color w:val="FFFFFF"/>
                <w:sz w:val="18"/>
              </w:rPr>
              <w:t>Validation layer</w:t>
            </w:r>
          </w:p>
        </w:tc>
        <w:tc>
          <w:tcPr>
            <w:tcW w:w="8352" w:type="dxa"/>
            <w:shd w:val="clear" w:color="auto" w:fill="1F4E79"/>
            <w:tcMar>
              <w:top w:w="100" w:type="dxa"/>
              <w:left w:w="120" w:type="dxa"/>
              <w:bottom w:w="100" w:type="dxa"/>
              <w:right w:w="120" w:type="dxa"/>
            </w:tcMar>
            <w:vAlign w:val="center"/>
          </w:tcPr>
          <w:p w14:paraId="31104877" w14:textId="77777777" w:rsidR="008457B0" w:rsidRDefault="00000000">
            <w:pPr>
              <w:spacing w:after="0"/>
            </w:pPr>
            <w:r>
              <w:rPr>
                <w:b/>
                <w:color w:val="FFFFFF"/>
                <w:sz w:val="18"/>
              </w:rPr>
              <w:t>Checks before training or scoring</w:t>
            </w:r>
          </w:p>
        </w:tc>
      </w:tr>
      <w:tr w:rsidR="008457B0" w14:paraId="6136ED08" w14:textId="77777777">
        <w:trPr>
          <w:cantSplit/>
          <w:jc w:val="center"/>
        </w:trPr>
        <w:tc>
          <w:tcPr>
            <w:tcW w:w="2016" w:type="dxa"/>
            <w:shd w:val="clear" w:color="auto" w:fill="FFFFFF"/>
            <w:tcMar>
              <w:top w:w="100" w:type="dxa"/>
              <w:left w:w="120" w:type="dxa"/>
              <w:bottom w:w="100" w:type="dxa"/>
              <w:right w:w="120" w:type="dxa"/>
            </w:tcMar>
            <w:vAlign w:val="center"/>
          </w:tcPr>
          <w:p w14:paraId="41965375" w14:textId="77777777" w:rsidR="008457B0" w:rsidRDefault="00000000">
            <w:pPr>
              <w:spacing w:after="0"/>
            </w:pPr>
            <w:r>
              <w:rPr>
                <w:color w:val="333333"/>
                <w:sz w:val="17"/>
              </w:rPr>
              <w:t>Tag quality</w:t>
            </w:r>
          </w:p>
        </w:tc>
        <w:tc>
          <w:tcPr>
            <w:tcW w:w="8352" w:type="dxa"/>
            <w:shd w:val="clear" w:color="auto" w:fill="FFFFFF"/>
            <w:tcMar>
              <w:top w:w="100" w:type="dxa"/>
              <w:left w:w="120" w:type="dxa"/>
              <w:bottom w:w="100" w:type="dxa"/>
              <w:right w:w="120" w:type="dxa"/>
            </w:tcMar>
            <w:vAlign w:val="center"/>
          </w:tcPr>
          <w:p w14:paraId="3F0C982E" w14:textId="77777777" w:rsidR="008457B0" w:rsidRDefault="00000000">
            <w:pPr>
              <w:spacing w:after="0"/>
            </w:pPr>
            <w:r>
              <w:rPr>
                <w:color w:val="333333"/>
                <w:sz w:val="17"/>
              </w:rPr>
              <w:t>Missing/frozen data, spikes, noise, impossible values, unit/scaling errors and sensor disagreement.</w:t>
            </w:r>
          </w:p>
        </w:tc>
      </w:tr>
      <w:tr w:rsidR="008457B0" w14:paraId="5C396A9A" w14:textId="77777777">
        <w:trPr>
          <w:cantSplit/>
          <w:jc w:val="center"/>
        </w:trPr>
        <w:tc>
          <w:tcPr>
            <w:tcW w:w="2016" w:type="dxa"/>
            <w:shd w:val="clear" w:color="auto" w:fill="F7F9FB"/>
            <w:tcMar>
              <w:top w:w="100" w:type="dxa"/>
              <w:left w:w="120" w:type="dxa"/>
              <w:bottom w:w="100" w:type="dxa"/>
              <w:right w:w="120" w:type="dxa"/>
            </w:tcMar>
            <w:vAlign w:val="center"/>
          </w:tcPr>
          <w:p w14:paraId="13304152" w14:textId="77777777" w:rsidR="008457B0" w:rsidRDefault="00000000">
            <w:pPr>
              <w:spacing w:after="0"/>
            </w:pPr>
            <w:r>
              <w:rPr>
                <w:color w:val="333333"/>
                <w:sz w:val="17"/>
              </w:rPr>
              <w:t>Operating state</w:t>
            </w:r>
          </w:p>
        </w:tc>
        <w:tc>
          <w:tcPr>
            <w:tcW w:w="8352" w:type="dxa"/>
            <w:shd w:val="clear" w:color="auto" w:fill="F7F9FB"/>
            <w:tcMar>
              <w:top w:w="100" w:type="dxa"/>
              <w:left w:w="120" w:type="dxa"/>
              <w:bottom w:w="100" w:type="dxa"/>
              <w:right w:w="120" w:type="dxa"/>
            </w:tcMar>
            <w:vAlign w:val="center"/>
          </w:tcPr>
          <w:p w14:paraId="3D46B278" w14:textId="77777777" w:rsidR="008457B0" w:rsidRDefault="00000000">
            <w:pPr>
              <w:spacing w:after="0"/>
            </w:pPr>
            <w:r>
              <w:rPr>
                <w:color w:val="333333"/>
                <w:sz w:val="17"/>
              </w:rPr>
              <w:t>Stable load versus ramps, start-up/shutdown, fan starts/stops, damper changes and manual operation.</w:t>
            </w:r>
          </w:p>
        </w:tc>
      </w:tr>
      <w:tr w:rsidR="008457B0" w14:paraId="36795866" w14:textId="77777777">
        <w:trPr>
          <w:cantSplit/>
          <w:jc w:val="center"/>
        </w:trPr>
        <w:tc>
          <w:tcPr>
            <w:tcW w:w="2016" w:type="dxa"/>
            <w:shd w:val="clear" w:color="auto" w:fill="FFFFFF"/>
            <w:tcMar>
              <w:top w:w="100" w:type="dxa"/>
              <w:left w:w="120" w:type="dxa"/>
              <w:bottom w:w="100" w:type="dxa"/>
              <w:right w:w="120" w:type="dxa"/>
            </w:tcMar>
            <w:vAlign w:val="center"/>
          </w:tcPr>
          <w:p w14:paraId="21BB7AF3" w14:textId="77777777" w:rsidR="008457B0" w:rsidRDefault="00000000">
            <w:pPr>
              <w:spacing w:after="0"/>
            </w:pPr>
            <w:r>
              <w:rPr>
                <w:color w:val="333333"/>
                <w:sz w:val="17"/>
              </w:rPr>
              <w:t>Relationship</w:t>
            </w:r>
          </w:p>
        </w:tc>
        <w:tc>
          <w:tcPr>
            <w:tcW w:w="8352" w:type="dxa"/>
            <w:shd w:val="clear" w:color="auto" w:fill="FFFFFF"/>
            <w:tcMar>
              <w:top w:w="100" w:type="dxa"/>
              <w:left w:w="120" w:type="dxa"/>
              <w:bottom w:w="100" w:type="dxa"/>
              <w:right w:w="120" w:type="dxa"/>
            </w:tcMar>
            <w:vAlign w:val="center"/>
          </w:tcPr>
          <w:p w14:paraId="3068906C" w14:textId="77777777" w:rsidR="008457B0" w:rsidRDefault="00000000">
            <w:pPr>
              <w:spacing w:after="0"/>
            </w:pPr>
            <w:r>
              <w:rPr>
                <w:color w:val="333333"/>
                <w:sz w:val="17"/>
              </w:rPr>
              <w:t>Steam-flow/SA-flow, flow/pressure, upstream/furnace pressure and temperature-load consistency.</w:t>
            </w:r>
          </w:p>
        </w:tc>
      </w:tr>
      <w:tr w:rsidR="008457B0" w14:paraId="651CFF25" w14:textId="77777777">
        <w:trPr>
          <w:cantSplit/>
          <w:jc w:val="center"/>
        </w:trPr>
        <w:tc>
          <w:tcPr>
            <w:tcW w:w="2016" w:type="dxa"/>
            <w:shd w:val="clear" w:color="auto" w:fill="F7F9FB"/>
            <w:tcMar>
              <w:top w:w="100" w:type="dxa"/>
              <w:left w:w="120" w:type="dxa"/>
              <w:bottom w:w="100" w:type="dxa"/>
              <w:right w:w="120" w:type="dxa"/>
            </w:tcMar>
            <w:vAlign w:val="center"/>
          </w:tcPr>
          <w:p w14:paraId="684120BC" w14:textId="77777777" w:rsidR="008457B0" w:rsidRDefault="00000000">
            <w:pPr>
              <w:spacing w:after="0"/>
            </w:pPr>
            <w:r>
              <w:rPr>
                <w:color w:val="333333"/>
                <w:sz w:val="17"/>
              </w:rPr>
              <w:t>Side balance</w:t>
            </w:r>
          </w:p>
        </w:tc>
        <w:tc>
          <w:tcPr>
            <w:tcW w:w="8352" w:type="dxa"/>
            <w:shd w:val="clear" w:color="auto" w:fill="F7F9FB"/>
            <w:tcMar>
              <w:top w:w="100" w:type="dxa"/>
              <w:left w:w="120" w:type="dxa"/>
              <w:bottom w:w="100" w:type="dxa"/>
              <w:right w:w="120" w:type="dxa"/>
            </w:tcMar>
            <w:vAlign w:val="center"/>
          </w:tcPr>
          <w:p w14:paraId="2591CAC7" w14:textId="77777777" w:rsidR="008457B0" w:rsidRDefault="00000000">
            <w:pPr>
              <w:spacing w:after="0"/>
            </w:pPr>
            <w:r>
              <w:rPr>
                <w:color w:val="333333"/>
                <w:sz w:val="17"/>
              </w:rPr>
              <w:t>A/B flow, APH pressure and air-box temperature normalized for intended side duty.</w:t>
            </w:r>
          </w:p>
        </w:tc>
      </w:tr>
      <w:tr w:rsidR="008457B0" w14:paraId="2D3069B6" w14:textId="77777777">
        <w:trPr>
          <w:cantSplit/>
          <w:jc w:val="center"/>
        </w:trPr>
        <w:tc>
          <w:tcPr>
            <w:tcW w:w="2016" w:type="dxa"/>
            <w:shd w:val="clear" w:color="auto" w:fill="FFFFFF"/>
            <w:tcMar>
              <w:top w:w="100" w:type="dxa"/>
              <w:left w:w="120" w:type="dxa"/>
              <w:bottom w:w="100" w:type="dxa"/>
              <w:right w:w="120" w:type="dxa"/>
            </w:tcMar>
            <w:vAlign w:val="center"/>
          </w:tcPr>
          <w:p w14:paraId="247519E4" w14:textId="77777777" w:rsidR="008457B0" w:rsidRDefault="00000000">
            <w:pPr>
              <w:spacing w:after="0"/>
            </w:pPr>
            <w:r>
              <w:rPr>
                <w:color w:val="333333"/>
                <w:sz w:val="17"/>
              </w:rPr>
              <w:t>Cross-cluster</w:t>
            </w:r>
          </w:p>
        </w:tc>
        <w:tc>
          <w:tcPr>
            <w:tcW w:w="8352" w:type="dxa"/>
            <w:shd w:val="clear" w:color="auto" w:fill="FFFFFF"/>
            <w:tcMar>
              <w:top w:w="100" w:type="dxa"/>
              <w:left w:w="120" w:type="dxa"/>
              <w:bottom w:w="100" w:type="dxa"/>
              <w:right w:w="120" w:type="dxa"/>
            </w:tcMar>
            <w:vAlign w:val="center"/>
          </w:tcPr>
          <w:p w14:paraId="3B6F0570" w14:textId="77777777" w:rsidR="008457B0" w:rsidRDefault="00000000">
            <w:pPr>
              <w:spacing w:after="0"/>
            </w:pPr>
            <w:r>
              <w:rPr>
                <w:color w:val="333333"/>
                <w:sz w:val="17"/>
              </w:rPr>
              <w:t>Confirm with SA fan condition, furnace draft, O₂, fuel and bed-temperature behaviour.</w:t>
            </w:r>
          </w:p>
        </w:tc>
      </w:tr>
    </w:tbl>
    <w:p w14:paraId="355444A8" w14:textId="77777777" w:rsidR="008457B0" w:rsidRDefault="008457B0">
      <w:pPr>
        <w:spacing w:after="0"/>
      </w:pPr>
    </w:p>
    <w:p w14:paraId="7CDABD31" w14:textId="13B32B5D" w:rsidR="008457B0" w:rsidRDefault="00000000">
      <w:pPr>
        <w:pStyle w:val="Heading1"/>
      </w:pPr>
      <w:r>
        <w:t>Performance Checking and Diagnostics</w:t>
      </w:r>
    </w:p>
    <w:tbl>
      <w:tblPr>
        <w:tblStyle w:val="TableGrid"/>
        <w:tblW w:w="0" w:type="auto"/>
        <w:jc w:val="center"/>
        <w:tblLook w:val="04A0" w:firstRow="1" w:lastRow="0" w:firstColumn="1" w:lastColumn="0" w:noHBand="0" w:noVBand="1"/>
      </w:tblPr>
      <w:tblGrid>
        <w:gridCol w:w="3024"/>
        <w:gridCol w:w="3528"/>
        <w:gridCol w:w="3816"/>
      </w:tblGrid>
      <w:tr w:rsidR="008457B0" w14:paraId="7F39F607" w14:textId="77777777">
        <w:trPr>
          <w:tblHeader/>
          <w:jc w:val="center"/>
        </w:trPr>
        <w:tc>
          <w:tcPr>
            <w:tcW w:w="3024" w:type="dxa"/>
            <w:shd w:val="clear" w:color="auto" w:fill="1F4E79"/>
            <w:tcMar>
              <w:top w:w="100" w:type="dxa"/>
              <w:left w:w="120" w:type="dxa"/>
              <w:bottom w:w="100" w:type="dxa"/>
              <w:right w:w="120" w:type="dxa"/>
            </w:tcMar>
            <w:vAlign w:val="center"/>
          </w:tcPr>
          <w:p w14:paraId="6E98EAAC" w14:textId="77777777" w:rsidR="008457B0" w:rsidRDefault="00000000">
            <w:pPr>
              <w:spacing w:after="0"/>
            </w:pPr>
            <w:r>
              <w:rPr>
                <w:b/>
                <w:color w:val="FFFFFF"/>
                <w:sz w:val="18"/>
              </w:rPr>
              <w:t>Observed residual pattern</w:t>
            </w:r>
          </w:p>
        </w:tc>
        <w:tc>
          <w:tcPr>
            <w:tcW w:w="3528" w:type="dxa"/>
            <w:shd w:val="clear" w:color="auto" w:fill="1F4E79"/>
            <w:tcMar>
              <w:top w:w="100" w:type="dxa"/>
              <w:left w:w="120" w:type="dxa"/>
              <w:bottom w:w="100" w:type="dxa"/>
              <w:right w:w="120" w:type="dxa"/>
            </w:tcMar>
            <w:vAlign w:val="center"/>
          </w:tcPr>
          <w:p w14:paraId="7B6FBBA5" w14:textId="77777777" w:rsidR="008457B0" w:rsidRDefault="00000000">
            <w:pPr>
              <w:spacing w:after="0"/>
            </w:pPr>
            <w:r>
              <w:rPr>
                <w:b/>
                <w:color w:val="FFFFFF"/>
                <w:sz w:val="18"/>
              </w:rPr>
              <w:t>Initial interpretation</w:t>
            </w:r>
          </w:p>
        </w:tc>
        <w:tc>
          <w:tcPr>
            <w:tcW w:w="3816" w:type="dxa"/>
            <w:shd w:val="clear" w:color="auto" w:fill="1F4E79"/>
            <w:tcMar>
              <w:top w:w="100" w:type="dxa"/>
              <w:left w:w="120" w:type="dxa"/>
              <w:bottom w:w="100" w:type="dxa"/>
              <w:right w:w="120" w:type="dxa"/>
            </w:tcMar>
            <w:vAlign w:val="center"/>
          </w:tcPr>
          <w:p w14:paraId="087EB031" w14:textId="77777777" w:rsidR="008457B0" w:rsidRDefault="00000000">
            <w:pPr>
              <w:spacing w:after="0"/>
            </w:pPr>
            <w:r>
              <w:rPr>
                <w:b/>
                <w:color w:val="FFFFFF"/>
                <w:sz w:val="18"/>
              </w:rPr>
              <w:t>Required confirmation</w:t>
            </w:r>
          </w:p>
        </w:tc>
      </w:tr>
      <w:tr w:rsidR="008457B0" w14:paraId="372C00B4" w14:textId="77777777">
        <w:trPr>
          <w:cantSplit/>
          <w:jc w:val="center"/>
        </w:trPr>
        <w:tc>
          <w:tcPr>
            <w:tcW w:w="3024" w:type="dxa"/>
            <w:shd w:val="clear" w:color="auto" w:fill="FFFFFF"/>
            <w:tcMar>
              <w:top w:w="100" w:type="dxa"/>
              <w:left w:w="120" w:type="dxa"/>
              <w:bottom w:w="100" w:type="dxa"/>
              <w:right w:w="120" w:type="dxa"/>
            </w:tcMar>
            <w:vAlign w:val="center"/>
          </w:tcPr>
          <w:p w14:paraId="6DA06D84" w14:textId="77777777" w:rsidR="008457B0" w:rsidRDefault="00000000">
            <w:pPr>
              <w:spacing w:after="0"/>
            </w:pPr>
            <w:r>
              <w:rPr>
                <w:color w:val="333333"/>
                <w:sz w:val="17"/>
              </w:rPr>
              <w:t>Total SA flow low; demand normal</w:t>
            </w:r>
          </w:p>
        </w:tc>
        <w:tc>
          <w:tcPr>
            <w:tcW w:w="3528" w:type="dxa"/>
            <w:shd w:val="clear" w:color="auto" w:fill="FFFFFF"/>
            <w:tcMar>
              <w:top w:w="100" w:type="dxa"/>
              <w:left w:w="120" w:type="dxa"/>
              <w:bottom w:w="100" w:type="dxa"/>
              <w:right w:w="120" w:type="dxa"/>
            </w:tcMar>
            <w:vAlign w:val="center"/>
          </w:tcPr>
          <w:p w14:paraId="3E964E46" w14:textId="77777777" w:rsidR="008457B0" w:rsidRDefault="00000000">
            <w:pPr>
              <w:spacing w:after="0"/>
            </w:pPr>
            <w:r>
              <w:rPr>
                <w:color w:val="333333"/>
                <w:sz w:val="17"/>
              </w:rPr>
              <w:t>Insufficient SA delivery or flow measurement issue.</w:t>
            </w:r>
          </w:p>
        </w:tc>
        <w:tc>
          <w:tcPr>
            <w:tcW w:w="3816" w:type="dxa"/>
            <w:shd w:val="clear" w:color="auto" w:fill="FFFFFF"/>
            <w:tcMar>
              <w:top w:w="100" w:type="dxa"/>
              <w:left w:w="120" w:type="dxa"/>
              <w:bottom w:w="100" w:type="dxa"/>
              <w:right w:w="120" w:type="dxa"/>
            </w:tcMar>
            <w:vAlign w:val="center"/>
          </w:tcPr>
          <w:p w14:paraId="2745ADDF" w14:textId="77777777" w:rsidR="008457B0" w:rsidRDefault="00000000">
            <w:pPr>
              <w:spacing w:after="0"/>
            </w:pPr>
            <w:r>
              <w:rPr>
                <w:color w:val="333333"/>
                <w:sz w:val="17"/>
              </w:rPr>
              <w:t>Check pressure chain, fan/damper state, O₂ and combustion response.</w:t>
            </w:r>
          </w:p>
        </w:tc>
      </w:tr>
      <w:tr w:rsidR="008457B0" w14:paraId="71342122" w14:textId="77777777">
        <w:trPr>
          <w:cantSplit/>
          <w:jc w:val="center"/>
        </w:trPr>
        <w:tc>
          <w:tcPr>
            <w:tcW w:w="3024" w:type="dxa"/>
            <w:shd w:val="clear" w:color="auto" w:fill="F7F9FB"/>
            <w:tcMar>
              <w:top w:w="100" w:type="dxa"/>
              <w:left w:w="120" w:type="dxa"/>
              <w:bottom w:w="100" w:type="dxa"/>
              <w:right w:w="120" w:type="dxa"/>
            </w:tcMar>
            <w:vAlign w:val="center"/>
          </w:tcPr>
          <w:p w14:paraId="2E23D82D" w14:textId="77777777" w:rsidR="008457B0" w:rsidRDefault="00000000">
            <w:pPr>
              <w:spacing w:after="0"/>
            </w:pPr>
            <w:r>
              <w:rPr>
                <w:color w:val="333333"/>
                <w:sz w:val="17"/>
              </w:rPr>
              <w:t>Path pressure loss high at similar flow</w:t>
            </w:r>
          </w:p>
        </w:tc>
        <w:tc>
          <w:tcPr>
            <w:tcW w:w="3528" w:type="dxa"/>
            <w:shd w:val="clear" w:color="auto" w:fill="F7F9FB"/>
            <w:tcMar>
              <w:top w:w="100" w:type="dxa"/>
              <w:left w:w="120" w:type="dxa"/>
              <w:bottom w:w="100" w:type="dxa"/>
              <w:right w:w="120" w:type="dxa"/>
            </w:tcMar>
            <w:vAlign w:val="center"/>
          </w:tcPr>
          <w:p w14:paraId="30290792" w14:textId="77777777" w:rsidR="008457B0" w:rsidRDefault="00000000">
            <w:pPr>
              <w:spacing w:after="0"/>
            </w:pPr>
            <w:r>
              <w:rPr>
                <w:color w:val="333333"/>
                <w:sz w:val="17"/>
              </w:rPr>
              <w:t>Developing APH/duct restriction or damper throttling.</w:t>
            </w:r>
          </w:p>
        </w:tc>
        <w:tc>
          <w:tcPr>
            <w:tcW w:w="3816" w:type="dxa"/>
            <w:shd w:val="clear" w:color="auto" w:fill="F7F9FB"/>
            <w:tcMar>
              <w:top w:w="100" w:type="dxa"/>
              <w:left w:w="120" w:type="dxa"/>
              <w:bottom w:w="100" w:type="dxa"/>
              <w:right w:w="120" w:type="dxa"/>
            </w:tcMar>
            <w:vAlign w:val="center"/>
          </w:tcPr>
          <w:p w14:paraId="311441FC" w14:textId="77777777" w:rsidR="008457B0" w:rsidRDefault="00000000">
            <w:pPr>
              <w:spacing w:after="0"/>
            </w:pPr>
            <w:r>
              <w:rPr>
                <w:color w:val="333333"/>
                <w:sz w:val="17"/>
              </w:rPr>
              <w:t>Verify damper position, cleanliness and pressure-tap health.</w:t>
            </w:r>
          </w:p>
        </w:tc>
      </w:tr>
      <w:tr w:rsidR="008457B0" w14:paraId="09E394EF" w14:textId="77777777">
        <w:trPr>
          <w:cantSplit/>
          <w:jc w:val="center"/>
        </w:trPr>
        <w:tc>
          <w:tcPr>
            <w:tcW w:w="3024" w:type="dxa"/>
            <w:shd w:val="clear" w:color="auto" w:fill="FFFFFF"/>
            <w:tcMar>
              <w:top w:w="100" w:type="dxa"/>
              <w:left w:w="120" w:type="dxa"/>
              <w:bottom w:w="100" w:type="dxa"/>
              <w:right w:w="120" w:type="dxa"/>
            </w:tcMar>
            <w:vAlign w:val="center"/>
          </w:tcPr>
          <w:p w14:paraId="77E80537" w14:textId="77777777" w:rsidR="008457B0" w:rsidRDefault="00000000">
            <w:pPr>
              <w:spacing w:after="0"/>
            </w:pPr>
            <w:r>
              <w:rPr>
                <w:color w:val="333333"/>
                <w:sz w:val="17"/>
              </w:rPr>
              <w:t>Pressure low with unexplained flow loss</w:t>
            </w:r>
          </w:p>
        </w:tc>
        <w:tc>
          <w:tcPr>
            <w:tcW w:w="3528" w:type="dxa"/>
            <w:shd w:val="clear" w:color="auto" w:fill="FFFFFF"/>
            <w:tcMar>
              <w:top w:w="100" w:type="dxa"/>
              <w:left w:w="120" w:type="dxa"/>
              <w:bottom w:w="100" w:type="dxa"/>
              <w:right w:w="120" w:type="dxa"/>
            </w:tcMar>
            <w:vAlign w:val="center"/>
          </w:tcPr>
          <w:p w14:paraId="1B1D1687" w14:textId="77777777" w:rsidR="008457B0" w:rsidRDefault="00000000">
            <w:pPr>
              <w:spacing w:after="0"/>
            </w:pPr>
            <w:r>
              <w:rPr>
                <w:color w:val="333333"/>
                <w:sz w:val="17"/>
              </w:rPr>
              <w:t>Leakage, upstream delivery weakness or pressure measurement drift.</w:t>
            </w:r>
          </w:p>
        </w:tc>
        <w:tc>
          <w:tcPr>
            <w:tcW w:w="3816" w:type="dxa"/>
            <w:shd w:val="clear" w:color="auto" w:fill="FFFFFF"/>
            <w:tcMar>
              <w:top w:w="100" w:type="dxa"/>
              <w:left w:w="120" w:type="dxa"/>
              <w:bottom w:w="100" w:type="dxa"/>
              <w:right w:w="120" w:type="dxa"/>
            </w:tcMar>
            <w:vAlign w:val="center"/>
          </w:tcPr>
          <w:p w14:paraId="45F60326" w14:textId="77777777" w:rsidR="008457B0" w:rsidRDefault="00000000">
            <w:pPr>
              <w:spacing w:after="0"/>
            </w:pPr>
            <w:r>
              <w:rPr>
                <w:color w:val="333333"/>
                <w:sz w:val="17"/>
              </w:rPr>
              <w:t>Compare fan/draft cluster and inspect duct/expansion joints.</w:t>
            </w:r>
          </w:p>
        </w:tc>
      </w:tr>
      <w:tr w:rsidR="008457B0" w14:paraId="2BC8459F" w14:textId="77777777">
        <w:trPr>
          <w:cantSplit/>
          <w:jc w:val="center"/>
        </w:trPr>
        <w:tc>
          <w:tcPr>
            <w:tcW w:w="3024" w:type="dxa"/>
            <w:shd w:val="clear" w:color="auto" w:fill="F7F9FB"/>
            <w:tcMar>
              <w:top w:w="100" w:type="dxa"/>
              <w:left w:w="120" w:type="dxa"/>
              <w:bottom w:w="100" w:type="dxa"/>
              <w:right w:w="120" w:type="dxa"/>
            </w:tcMar>
            <w:vAlign w:val="center"/>
          </w:tcPr>
          <w:p w14:paraId="7AD55D47" w14:textId="77777777" w:rsidR="008457B0" w:rsidRDefault="00000000">
            <w:pPr>
              <w:spacing w:after="0"/>
            </w:pPr>
            <w:r>
              <w:rPr>
                <w:color w:val="333333"/>
                <w:sz w:val="17"/>
              </w:rPr>
              <w:t>A/B flow or temperature divergence</w:t>
            </w:r>
          </w:p>
        </w:tc>
        <w:tc>
          <w:tcPr>
            <w:tcW w:w="3528" w:type="dxa"/>
            <w:shd w:val="clear" w:color="auto" w:fill="F7F9FB"/>
            <w:tcMar>
              <w:top w:w="100" w:type="dxa"/>
              <w:left w:w="120" w:type="dxa"/>
              <w:bottom w:w="100" w:type="dxa"/>
              <w:right w:w="120" w:type="dxa"/>
            </w:tcMar>
            <w:vAlign w:val="center"/>
          </w:tcPr>
          <w:p w14:paraId="66685F6E" w14:textId="77777777" w:rsidR="008457B0" w:rsidRDefault="00000000">
            <w:pPr>
              <w:spacing w:after="0"/>
            </w:pPr>
            <w:r>
              <w:rPr>
                <w:color w:val="333333"/>
                <w:sz w:val="17"/>
              </w:rPr>
              <w:t>Side maldistribution, side restriction or sensor drift.</w:t>
            </w:r>
          </w:p>
        </w:tc>
        <w:tc>
          <w:tcPr>
            <w:tcW w:w="3816" w:type="dxa"/>
            <w:shd w:val="clear" w:color="auto" w:fill="F7F9FB"/>
            <w:tcMar>
              <w:top w:w="100" w:type="dxa"/>
              <w:left w:w="120" w:type="dxa"/>
              <w:bottom w:w="100" w:type="dxa"/>
              <w:right w:w="120" w:type="dxa"/>
            </w:tcMar>
            <w:vAlign w:val="center"/>
          </w:tcPr>
          <w:p w14:paraId="4D21FBDE" w14:textId="77777777" w:rsidR="008457B0" w:rsidRDefault="00000000">
            <w:pPr>
              <w:spacing w:after="0"/>
            </w:pPr>
            <w:r>
              <w:rPr>
                <w:color w:val="333333"/>
                <w:sz w:val="17"/>
              </w:rPr>
              <w:t>Confirm intended split and compare side pressures.</w:t>
            </w:r>
          </w:p>
        </w:tc>
      </w:tr>
      <w:tr w:rsidR="008457B0" w14:paraId="64308701" w14:textId="77777777">
        <w:trPr>
          <w:cantSplit/>
          <w:jc w:val="center"/>
        </w:trPr>
        <w:tc>
          <w:tcPr>
            <w:tcW w:w="3024" w:type="dxa"/>
            <w:shd w:val="clear" w:color="auto" w:fill="FFFFFF"/>
            <w:tcMar>
              <w:top w:w="100" w:type="dxa"/>
              <w:left w:w="120" w:type="dxa"/>
              <w:bottom w:w="100" w:type="dxa"/>
              <w:right w:w="120" w:type="dxa"/>
            </w:tcMar>
            <w:vAlign w:val="center"/>
          </w:tcPr>
          <w:p w14:paraId="3D23B3A9" w14:textId="77777777" w:rsidR="008457B0" w:rsidRDefault="00000000">
            <w:pPr>
              <w:spacing w:after="0"/>
            </w:pPr>
            <w:r>
              <w:rPr>
                <w:color w:val="333333"/>
                <w:sz w:val="17"/>
              </w:rPr>
              <w:t>SA temperature low at normal demand</w:t>
            </w:r>
          </w:p>
        </w:tc>
        <w:tc>
          <w:tcPr>
            <w:tcW w:w="3528" w:type="dxa"/>
            <w:shd w:val="clear" w:color="auto" w:fill="FFFFFF"/>
            <w:tcMar>
              <w:top w:w="100" w:type="dxa"/>
              <w:left w:w="120" w:type="dxa"/>
              <w:bottom w:w="100" w:type="dxa"/>
              <w:right w:w="120" w:type="dxa"/>
            </w:tcMar>
            <w:vAlign w:val="center"/>
          </w:tcPr>
          <w:p w14:paraId="1DB03E80" w14:textId="77777777" w:rsidR="008457B0" w:rsidRDefault="00000000">
            <w:pPr>
              <w:spacing w:after="0"/>
            </w:pPr>
            <w:r>
              <w:rPr>
                <w:color w:val="333333"/>
                <w:sz w:val="17"/>
              </w:rPr>
              <w:t>Reduced APH heat pickup, bypass/leakage or sensor issue.</w:t>
            </w:r>
          </w:p>
        </w:tc>
        <w:tc>
          <w:tcPr>
            <w:tcW w:w="3816" w:type="dxa"/>
            <w:shd w:val="clear" w:color="auto" w:fill="FFFFFF"/>
            <w:tcMar>
              <w:top w:w="100" w:type="dxa"/>
              <w:left w:w="120" w:type="dxa"/>
              <w:bottom w:w="100" w:type="dxa"/>
              <w:right w:w="120" w:type="dxa"/>
            </w:tcMar>
            <w:vAlign w:val="center"/>
          </w:tcPr>
          <w:p w14:paraId="0D5A81C1" w14:textId="77777777" w:rsidR="008457B0" w:rsidRDefault="00000000">
            <w:pPr>
              <w:spacing w:after="0"/>
            </w:pPr>
            <w:r>
              <w:rPr>
                <w:color w:val="333333"/>
                <w:sz w:val="17"/>
              </w:rPr>
              <w:t>Compare flue-gas temperatures and APH condition.</w:t>
            </w:r>
          </w:p>
        </w:tc>
      </w:tr>
      <w:tr w:rsidR="008457B0" w14:paraId="0DBFB745" w14:textId="77777777">
        <w:trPr>
          <w:cantSplit/>
          <w:jc w:val="center"/>
        </w:trPr>
        <w:tc>
          <w:tcPr>
            <w:tcW w:w="3024" w:type="dxa"/>
            <w:shd w:val="clear" w:color="auto" w:fill="F7F9FB"/>
            <w:tcMar>
              <w:top w:w="100" w:type="dxa"/>
              <w:left w:w="120" w:type="dxa"/>
              <w:bottom w:w="100" w:type="dxa"/>
              <w:right w:w="120" w:type="dxa"/>
            </w:tcMar>
            <w:vAlign w:val="center"/>
          </w:tcPr>
          <w:p w14:paraId="34B80C8D" w14:textId="77777777" w:rsidR="008457B0" w:rsidRDefault="00000000">
            <w:pPr>
              <w:spacing w:after="0"/>
            </w:pPr>
            <w:r>
              <w:rPr>
                <w:color w:val="333333"/>
                <w:sz w:val="17"/>
              </w:rPr>
              <w:t>Multiple persistent residuals</w:t>
            </w:r>
          </w:p>
        </w:tc>
        <w:tc>
          <w:tcPr>
            <w:tcW w:w="3528" w:type="dxa"/>
            <w:shd w:val="clear" w:color="auto" w:fill="F7F9FB"/>
            <w:tcMar>
              <w:top w:w="100" w:type="dxa"/>
              <w:left w:w="120" w:type="dxa"/>
              <w:bottom w:w="100" w:type="dxa"/>
              <w:right w:w="120" w:type="dxa"/>
            </w:tcMar>
            <w:vAlign w:val="center"/>
          </w:tcPr>
          <w:p w14:paraId="13C6593D" w14:textId="77777777" w:rsidR="008457B0" w:rsidRDefault="00000000">
            <w:pPr>
              <w:spacing w:after="0"/>
            </w:pPr>
            <w:r>
              <w:rPr>
                <w:color w:val="333333"/>
                <w:sz w:val="17"/>
              </w:rPr>
              <w:t>Higher-confidence SA distribution degradation.</w:t>
            </w:r>
          </w:p>
        </w:tc>
        <w:tc>
          <w:tcPr>
            <w:tcW w:w="3816" w:type="dxa"/>
            <w:shd w:val="clear" w:color="auto" w:fill="F7F9FB"/>
            <w:tcMar>
              <w:top w:w="100" w:type="dxa"/>
              <w:left w:w="120" w:type="dxa"/>
              <w:bottom w:w="100" w:type="dxa"/>
              <w:right w:w="120" w:type="dxa"/>
            </w:tcMar>
            <w:vAlign w:val="center"/>
          </w:tcPr>
          <w:p w14:paraId="3B5A2EBC" w14:textId="77777777" w:rsidR="008457B0" w:rsidRDefault="00000000">
            <w:pPr>
              <w:spacing w:after="0"/>
            </w:pPr>
            <w:r>
              <w:rPr>
                <w:color w:val="333333"/>
                <w:sz w:val="17"/>
              </w:rPr>
              <w:t>Escalate for cross-cluster and field verification.</w:t>
            </w:r>
          </w:p>
        </w:tc>
      </w:tr>
    </w:tbl>
    <w:p w14:paraId="0EE684CC" w14:textId="77777777" w:rsidR="008457B0" w:rsidRDefault="008457B0">
      <w:pPr>
        <w:spacing w:after="0"/>
      </w:pPr>
    </w:p>
    <w:p w14:paraId="3C813876" w14:textId="24532412" w:rsidR="008457B0" w:rsidRDefault="00000000">
      <w:pPr>
        <w:pStyle w:val="Heading2"/>
      </w:pPr>
      <w:r>
        <w:t>Dashboard and Model Acceptance</w:t>
      </w:r>
    </w:p>
    <w:p w14:paraId="445FE31B" w14:textId="77777777" w:rsidR="008457B0" w:rsidRDefault="00000000">
      <w:pPr>
        <w:pStyle w:val="ListBullet"/>
        <w:spacing w:after="60"/>
      </w:pPr>
      <w:r>
        <w:t>Display actual, predicted and normal-band values for total SA flow, A/B flows, furnace pressure and SA temperatures.</w:t>
      </w:r>
    </w:p>
    <w:p w14:paraId="2D984D4A" w14:textId="77777777" w:rsidR="008457B0" w:rsidRDefault="00000000">
      <w:pPr>
        <w:pStyle w:val="ListBullet"/>
        <w:spacing w:after="60"/>
      </w:pPr>
      <w:r>
        <w:t>Show path pressure drop, A/B imbalance, residual magnitude, persistence, data-quality status and operating-state label.</w:t>
      </w:r>
    </w:p>
    <w:p w14:paraId="433E8146" w14:textId="2A63A865" w:rsidR="008457B0" w:rsidRDefault="00000000" w:rsidP="00793FD1">
      <w:pPr>
        <w:pStyle w:val="ListBullet"/>
        <w:spacing w:after="60"/>
      </w:pPr>
      <w:r>
        <w:lastRenderedPageBreak/>
        <w:t xml:space="preserve">Evaluate model </w:t>
      </w:r>
      <w:r w:rsidR="00F32889">
        <w:t>errors</w:t>
      </w:r>
      <w:r>
        <w:t xml:space="preserve"> separately by load band, steady/transient state and side/configuration.</w:t>
      </w:r>
    </w:p>
    <w:tbl>
      <w:tblPr>
        <w:tblStyle w:val="TableGrid"/>
        <w:tblW w:w="0" w:type="auto"/>
        <w:jc w:val="center"/>
        <w:tblLook w:val="04A0" w:firstRow="1" w:lastRow="0" w:firstColumn="1" w:lastColumn="0" w:noHBand="0" w:noVBand="1"/>
      </w:tblPr>
      <w:tblGrid>
        <w:gridCol w:w="10368"/>
      </w:tblGrid>
      <w:tr w:rsidR="008457B0" w14:paraId="1C640EDE" w14:textId="77777777">
        <w:trPr>
          <w:jc w:val="center"/>
        </w:trPr>
        <w:tc>
          <w:tcPr>
            <w:tcW w:w="10368" w:type="dxa"/>
            <w:shd w:val="clear" w:color="auto" w:fill="E2F0D9"/>
            <w:tcMar>
              <w:top w:w="140" w:type="dxa"/>
              <w:left w:w="160" w:type="dxa"/>
              <w:bottom w:w="140" w:type="dxa"/>
              <w:right w:w="160" w:type="dxa"/>
            </w:tcMar>
          </w:tcPr>
          <w:p w14:paraId="4FF24594" w14:textId="0A699453" w:rsidR="008457B0" w:rsidRDefault="00000000">
            <w:r>
              <w:rPr>
                <w:b/>
                <w:color w:val="1F4E79"/>
              </w:rPr>
              <w:t xml:space="preserve">Conclusion. </w:t>
            </w:r>
            <w:r>
              <w:rPr>
                <w:sz w:val="18"/>
              </w:rPr>
              <w:t xml:space="preserve">Cluster </w:t>
            </w:r>
            <w:r w:rsidR="00793FD1">
              <w:rPr>
                <w:sz w:val="18"/>
              </w:rPr>
              <w:t>8</w:t>
            </w:r>
            <w:r>
              <w:rPr>
                <w:sz w:val="18"/>
              </w:rPr>
              <w:t xml:space="preserve"> provides the downstream secondary-air distribution health model. The strongest warning is a sustained change in the learned relationship among steam demand, SA flow, pressure delivery and temperature. Root cause should be assigned only after checking operating state, instrumentation and corroborating fan, draft and combustion evidence.</w:t>
            </w:r>
          </w:p>
        </w:tc>
      </w:tr>
    </w:tbl>
    <w:p w14:paraId="459B14CB" w14:textId="77777777" w:rsidR="008457B0" w:rsidRDefault="008457B0">
      <w:pPr>
        <w:spacing w:after="0"/>
      </w:pPr>
    </w:p>
    <w:sectPr w:rsidR="008457B0"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E7C5" w14:textId="77777777" w:rsidR="00A61C0D" w:rsidRDefault="00A61C0D">
      <w:pPr>
        <w:spacing w:after="0" w:line="240" w:lineRule="auto"/>
      </w:pPr>
      <w:r>
        <w:separator/>
      </w:r>
    </w:p>
  </w:endnote>
  <w:endnote w:type="continuationSeparator" w:id="0">
    <w:p w14:paraId="157033BB" w14:textId="77777777" w:rsidR="00A61C0D" w:rsidRDefault="00A61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5EE7" w14:textId="666E3EEE" w:rsidR="008457B0" w:rsidRDefault="00000000">
    <w:pPr>
      <w:pStyle w:val="Footer"/>
      <w:jc w:val="center"/>
    </w:pPr>
    <w:r>
      <w:rPr>
        <w:color w:val="777777"/>
        <w:sz w:val="16"/>
      </w:rPr>
      <w:t xml:space="preserve">Source: Dependency_Matrix_Clustered R1.xlsx – Cluster 6  |  </w:t>
    </w:r>
    <w:r>
      <w:fldChar w:fldCharType="begin"/>
    </w:r>
    <w:r>
      <w:instrText>PAGE</w:instrText>
    </w:r>
    <w:r>
      <w:fldChar w:fldCharType="separate"/>
    </w:r>
    <w:r w:rsidR="007B72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F3A76" w14:textId="77777777" w:rsidR="00A61C0D" w:rsidRDefault="00A61C0D">
      <w:pPr>
        <w:spacing w:after="0" w:line="240" w:lineRule="auto"/>
      </w:pPr>
      <w:r>
        <w:separator/>
      </w:r>
    </w:p>
  </w:footnote>
  <w:footnote w:type="continuationSeparator" w:id="0">
    <w:p w14:paraId="25B18E6C" w14:textId="77777777" w:rsidR="00A61C0D" w:rsidRDefault="00A61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828337">
    <w:abstractNumId w:val="8"/>
  </w:num>
  <w:num w:numId="2" w16cid:durableId="1145195253">
    <w:abstractNumId w:val="6"/>
  </w:num>
  <w:num w:numId="3" w16cid:durableId="1427115383">
    <w:abstractNumId w:val="5"/>
  </w:num>
  <w:num w:numId="4" w16cid:durableId="1380587196">
    <w:abstractNumId w:val="4"/>
  </w:num>
  <w:num w:numId="5" w16cid:durableId="1338071166">
    <w:abstractNumId w:val="7"/>
  </w:num>
  <w:num w:numId="6" w16cid:durableId="1192261433">
    <w:abstractNumId w:val="3"/>
  </w:num>
  <w:num w:numId="7" w16cid:durableId="1052118937">
    <w:abstractNumId w:val="2"/>
  </w:num>
  <w:num w:numId="8" w16cid:durableId="932973537">
    <w:abstractNumId w:val="1"/>
  </w:num>
  <w:num w:numId="9" w16cid:durableId="102066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637"/>
    <w:rsid w:val="001F5B82"/>
    <w:rsid w:val="0029639D"/>
    <w:rsid w:val="00323C19"/>
    <w:rsid w:val="00326F90"/>
    <w:rsid w:val="00361E81"/>
    <w:rsid w:val="003F34E2"/>
    <w:rsid w:val="0053436C"/>
    <w:rsid w:val="006E6BE8"/>
    <w:rsid w:val="00734E40"/>
    <w:rsid w:val="007843E5"/>
    <w:rsid w:val="00787AE1"/>
    <w:rsid w:val="00793FD1"/>
    <w:rsid w:val="007B7287"/>
    <w:rsid w:val="008457B0"/>
    <w:rsid w:val="008760BE"/>
    <w:rsid w:val="008F2AA5"/>
    <w:rsid w:val="00936702"/>
    <w:rsid w:val="00A17D72"/>
    <w:rsid w:val="00A61C0D"/>
    <w:rsid w:val="00A92B81"/>
    <w:rsid w:val="00AA1D8D"/>
    <w:rsid w:val="00AD2EB0"/>
    <w:rsid w:val="00AF1A7F"/>
    <w:rsid w:val="00AF7B6D"/>
    <w:rsid w:val="00B47730"/>
    <w:rsid w:val="00B8537C"/>
    <w:rsid w:val="00CA4BF9"/>
    <w:rsid w:val="00CB0664"/>
    <w:rsid w:val="00CD6354"/>
    <w:rsid w:val="00D11E28"/>
    <w:rsid w:val="00D1512D"/>
    <w:rsid w:val="00D934EC"/>
    <w:rsid w:val="00DD7699"/>
    <w:rsid w:val="00DF1026"/>
    <w:rsid w:val="00EB4B9D"/>
    <w:rsid w:val="00F32889"/>
    <w:rsid w:val="00FB4D3D"/>
    <w:rsid w:val="00FC2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CF0BD5-55E2-4CAA-964B-BC4DF3E5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32</cp:revision>
  <dcterms:created xsi:type="dcterms:W3CDTF">2026-07-20T12:52:00Z</dcterms:created>
  <dcterms:modified xsi:type="dcterms:W3CDTF">2026-07-21T11:29:00Z</dcterms:modified>
  <cp:category/>
</cp:coreProperties>
</file>