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Cluster 1 — Load-Flow Mass Balance — Validation Report</w:t>
      </w:r>
    </w:p>
    <w:p>
      <w:r>
        <w:t xml:space="preserve">Generated by </w:t>
      </w:r>
      <w:r>
        <w:rPr>
          <w:rFonts w:ascii="Consolas" w:hAnsi="Consolas"/>
          <w:sz w:val="20"/>
        </w:rPr>
        <w:t>clusters/reports/cluster1_report.py</w:t>
      </w:r>
      <w:r>
        <w:t xml:space="preserve">. Standalone analysis — does not touch </w:t>
      </w:r>
      <w:r>
        <w:rPr>
          <w:rFonts w:ascii="Consolas" w:hAnsi="Consolas"/>
          <w:sz w:val="20"/>
        </w:rPr>
        <w:t>server.py</w:t>
      </w:r>
      <w:r>
        <w:t xml:space="preserve">, </w:t>
      </w:r>
      <w:r>
        <w:rPr>
          <w:rFonts w:ascii="Consolas" w:hAnsi="Consolas"/>
          <w:sz w:val="20"/>
        </w:rPr>
        <w:t>engine/</w:t>
      </w:r>
      <w:r>
        <w:t>, or the frontend; the webapp does not need to be running to reproduce this.</w:t>
      </w:r>
    </w:p>
    <w:p>
      <w:r>
        <w:rPr>
          <w:b/>
        </w:rPr>
        <w:t>Source:</w:t>
      </w:r>
      <w:r>
        <w:t xml:space="preserve"> </w:t>
      </w:r>
      <w:r>
        <w:rPr>
          <w:rFonts w:ascii="Consolas" w:hAnsi="Consolas"/>
          <w:sz w:val="20"/>
        </w:rPr>
        <w:t>data/raw/boiler9_cleaned_2024.csv</w:t>
      </w:r>
      <w:r>
        <w:t xml:space="preserve"> — 91,767 rows, full 2024, 5-minute sampling interval, Hindalco Boiler-9 (CFBC, Unit 4).</w:t>
      </w:r>
    </w:p>
    <w:p>
      <w:pPr>
        <w:pStyle w:val="Heading2"/>
      </w:pPr>
      <w:r>
        <w:t>1. Methodology — Chronological Train/Test Split &amp; Training-Data Hygiene</w:t>
      </w:r>
    </w:p>
    <w:p>
      <w:r>
        <w:t xml:space="preserve">Everything in this report downstream of this section is scored </w:t>
      </w:r>
      <w:r>
        <w:rPr>
          <w:b/>
        </w:rPr>
        <w:t>only on the test window</w:t>
      </w:r>
      <w:r>
        <w:t xml:space="preserve"> — data the baseline never saw. This fixes a data-leakage bug in the previous version of this report, which trained the baseline on the full dataset and then scored that same dataset against it, so every real deviation was already partly baked into what the baseline considered "normal."</w:t>
      </w:r>
    </w:p>
    <w:p>
      <w:pPr>
        <w:pStyle w:val="Heading3"/>
      </w:pPr>
      <w:r>
        <w:t>1.1 Monthly-stratified split</w:t>
      </w:r>
    </w:p>
    <w:p>
      <w:r>
        <w:t>Split independently WITHIN each calendar month: the first 20% of each month's own observed timestamp span trains the baseline, the remaining ~80% is test. This supersedes an earlier version that used a single first-20%-of-the-year block (2024-01-18 through 2024-03-27) — that trained a baseline that never saw a single row from June through December, and a genuine seasonal drift in several relationships (see §3's investigation) then showed up as an inflated outlier rate across the back half of the year, reflecting training-window non-representativeness rather than real faults. Stratifying by month fixes that while still respecting chronological order (never trains on a row using information from later in that same month) and real sampling gaps (10 in the full dataset, including a full missing month, 2024-06-01 through 2024-06-30 — June contributes 0 rows to either split).</w:t>
      </w:r>
    </w:p>
    <w:p>
      <w:pPr>
        <w:pStyle w:val="ListBullet"/>
      </w:pPr>
      <w:r>
        <w:rPr>
          <w:b/>
        </w:rPr>
        <w:t>Train:</w:t>
      </w:r>
      <w:r>
        <w:t xml:space="preserve"> 18,340 rows (20.0% of the dataset)</w:t>
      </w:r>
    </w:p>
    <w:p>
      <w:pPr>
        <w:pStyle w:val="ListBullet"/>
      </w:pPr>
      <w:r>
        <w:rPr>
          <w:b/>
        </w:rPr>
        <w:t>Test:</w:t>
      </w:r>
      <w:r>
        <w:t xml:space="preserve"> 73,427 rows (80.0% of the dataset) — </w:t>
      </w:r>
      <w:r>
        <w:rPr>
          <w:b/>
        </w:rPr>
        <w:t>unseen data</w:t>
      </w:r>
      <w:r>
        <w:t>, used for every status table and worked example in the sections below (§3 onward).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month</w:t>
            </w:r>
          </w:p>
        </w:tc>
        <w:tc>
          <w:tcPr>
            <w:tcW w:type="dxa" w:w="2160"/>
          </w:tcPr>
          <w:p>
            <w:r>
              <w:rPr>
                <w:b/>
              </w:rPr>
              <w:t>total rows</w:t>
            </w:r>
          </w:p>
        </w:tc>
        <w:tc>
          <w:tcPr>
            <w:tcW w:type="dxa" w:w="2160"/>
          </w:tcPr>
          <w:p>
            <w:r>
              <w:rPr>
                <w:b/>
              </w:rPr>
              <w:t>train rows</w:t>
            </w:r>
          </w:p>
        </w:tc>
        <w:tc>
          <w:tcPr>
            <w:tcW w:type="dxa" w:w="2160"/>
          </w:tcPr>
          <w:p>
            <w:r>
              <w:rPr>
                <w:b/>
              </w:rPr>
              <w:t>test rows</w:t>
            </w:r>
          </w:p>
        </w:tc>
      </w:tr>
      <w:tr>
        <w:tc>
          <w:tcPr>
            <w:tcW w:type="dxa" w:w="2160"/>
          </w:tcPr>
          <w:p>
            <w:r>
              <w:t>2024-01</w:t>
            </w:r>
          </w:p>
        </w:tc>
        <w:tc>
          <w:tcPr>
            <w:tcW w:type="dxa" w:w="2160"/>
          </w:tcPr>
          <w:p>
            <w:r>
              <w:t>4,004</w:t>
            </w:r>
          </w:p>
        </w:tc>
        <w:tc>
          <w:tcPr>
            <w:tcW w:type="dxa" w:w="2160"/>
          </w:tcPr>
          <w:p>
            <w:r>
              <w:t>779</w:t>
            </w:r>
          </w:p>
        </w:tc>
        <w:tc>
          <w:tcPr>
            <w:tcW w:type="dxa" w:w="2160"/>
          </w:tcPr>
          <w:p>
            <w:r>
              <w:t>3,225</w:t>
            </w:r>
          </w:p>
        </w:tc>
      </w:tr>
      <w:tr>
        <w:tc>
          <w:tcPr>
            <w:tcW w:type="dxa" w:w="2160"/>
          </w:tcPr>
          <w:p>
            <w:r>
              <w:t>2024-02</w:t>
            </w:r>
          </w:p>
        </w:tc>
        <w:tc>
          <w:tcPr>
            <w:tcW w:type="dxa" w:w="2160"/>
          </w:tcPr>
          <w:p>
            <w:r>
              <w:t>8,347</w:t>
            </w:r>
          </w:p>
        </w:tc>
        <w:tc>
          <w:tcPr>
            <w:tcW w:type="dxa" w:w="2160"/>
          </w:tcPr>
          <w:p>
            <w:r>
              <w:t>1,671</w:t>
            </w:r>
          </w:p>
        </w:tc>
        <w:tc>
          <w:tcPr>
            <w:tcW w:type="dxa" w:w="2160"/>
          </w:tcPr>
          <w:p>
            <w:r>
              <w:t>6,676</w:t>
            </w:r>
          </w:p>
        </w:tc>
      </w:tr>
      <w:tr>
        <w:tc>
          <w:tcPr>
            <w:tcW w:type="dxa" w:w="2160"/>
          </w:tcPr>
          <w:p>
            <w:r>
              <w:t>2024-03</w:t>
            </w:r>
          </w:p>
        </w:tc>
        <w:tc>
          <w:tcPr>
            <w:tcW w:type="dxa" w:w="2160"/>
          </w:tcPr>
          <w:p>
            <w:r>
              <w:t>8,928</w:t>
            </w:r>
          </w:p>
        </w:tc>
        <w:tc>
          <w:tcPr>
            <w:tcW w:type="dxa" w:w="2160"/>
          </w:tcPr>
          <w:p>
            <w:r>
              <w:t>1,786</w:t>
            </w:r>
          </w:p>
        </w:tc>
        <w:tc>
          <w:tcPr>
            <w:tcW w:type="dxa" w:w="2160"/>
          </w:tcPr>
          <w:p>
            <w:r>
              <w:t>7,142</w:t>
            </w:r>
          </w:p>
        </w:tc>
      </w:tr>
      <w:tr>
        <w:tc>
          <w:tcPr>
            <w:tcW w:type="dxa" w:w="2160"/>
          </w:tcPr>
          <w:p>
            <w:r>
              <w:t>2024-04</w:t>
            </w:r>
          </w:p>
        </w:tc>
        <w:tc>
          <w:tcPr>
            <w:tcW w:type="dxa" w:w="2160"/>
          </w:tcPr>
          <w:p>
            <w:r>
              <w:t>8,640</w:t>
            </w:r>
          </w:p>
        </w:tc>
        <w:tc>
          <w:tcPr>
            <w:tcW w:type="dxa" w:w="2160"/>
          </w:tcPr>
          <w:p>
            <w:r>
              <w:t>1,728</w:t>
            </w:r>
          </w:p>
        </w:tc>
        <w:tc>
          <w:tcPr>
            <w:tcW w:type="dxa" w:w="2160"/>
          </w:tcPr>
          <w:p>
            <w:r>
              <w:t>6,912</w:t>
            </w:r>
          </w:p>
        </w:tc>
      </w:tr>
      <w:tr>
        <w:tc>
          <w:tcPr>
            <w:tcW w:type="dxa" w:w="2160"/>
          </w:tcPr>
          <w:p>
            <w:r>
              <w:t>2024-05</w:t>
            </w:r>
          </w:p>
        </w:tc>
        <w:tc>
          <w:tcPr>
            <w:tcW w:type="dxa" w:w="2160"/>
          </w:tcPr>
          <w:p>
            <w:r>
              <w:t>8,928</w:t>
            </w:r>
          </w:p>
        </w:tc>
        <w:tc>
          <w:tcPr>
            <w:tcW w:type="dxa" w:w="2160"/>
          </w:tcPr>
          <w:p>
            <w:r>
              <w:t>1,786</w:t>
            </w:r>
          </w:p>
        </w:tc>
        <w:tc>
          <w:tcPr>
            <w:tcW w:type="dxa" w:w="2160"/>
          </w:tcPr>
          <w:p>
            <w:r>
              <w:t>7,142</w:t>
            </w:r>
          </w:p>
        </w:tc>
      </w:tr>
      <w:tr>
        <w:tc>
          <w:tcPr>
            <w:tcW w:type="dxa" w:w="2160"/>
          </w:tcPr>
          <w:p>
            <w:r>
              <w:t>2024-07</w:t>
            </w:r>
          </w:p>
        </w:tc>
        <w:tc>
          <w:tcPr>
            <w:tcW w:type="dxa" w:w="2160"/>
          </w:tcPr>
          <w:p>
            <w:r>
              <w:t>8,928</w:t>
            </w:r>
          </w:p>
        </w:tc>
        <w:tc>
          <w:tcPr>
            <w:tcW w:type="dxa" w:w="2160"/>
          </w:tcPr>
          <w:p>
            <w:r>
              <w:t>1,786</w:t>
            </w:r>
          </w:p>
        </w:tc>
        <w:tc>
          <w:tcPr>
            <w:tcW w:type="dxa" w:w="2160"/>
          </w:tcPr>
          <w:p>
            <w:r>
              <w:t>7,142</w:t>
            </w:r>
          </w:p>
        </w:tc>
      </w:tr>
      <w:tr>
        <w:tc>
          <w:tcPr>
            <w:tcW w:type="dxa" w:w="2160"/>
          </w:tcPr>
          <w:p>
            <w:r>
              <w:t>2024-08</w:t>
            </w:r>
          </w:p>
        </w:tc>
        <w:tc>
          <w:tcPr>
            <w:tcW w:type="dxa" w:w="2160"/>
          </w:tcPr>
          <w:p>
            <w:r>
              <w:t>8,928</w:t>
            </w:r>
          </w:p>
        </w:tc>
        <w:tc>
          <w:tcPr>
            <w:tcW w:type="dxa" w:w="2160"/>
          </w:tcPr>
          <w:p>
            <w:r>
              <w:t>1,786</w:t>
            </w:r>
          </w:p>
        </w:tc>
        <w:tc>
          <w:tcPr>
            <w:tcW w:type="dxa" w:w="2160"/>
          </w:tcPr>
          <w:p>
            <w:r>
              <w:t>7,142</w:t>
            </w:r>
          </w:p>
        </w:tc>
      </w:tr>
      <w:tr>
        <w:tc>
          <w:tcPr>
            <w:tcW w:type="dxa" w:w="2160"/>
          </w:tcPr>
          <w:p>
            <w:r>
              <w:t>2024-09</w:t>
            </w:r>
          </w:p>
        </w:tc>
        <w:tc>
          <w:tcPr>
            <w:tcW w:type="dxa" w:w="2160"/>
          </w:tcPr>
          <w:p>
            <w:r>
              <w:t>8,639</w:t>
            </w:r>
          </w:p>
        </w:tc>
        <w:tc>
          <w:tcPr>
            <w:tcW w:type="dxa" w:w="2160"/>
          </w:tcPr>
          <w:p>
            <w:r>
              <w:t>1,728</w:t>
            </w:r>
          </w:p>
        </w:tc>
        <w:tc>
          <w:tcPr>
            <w:tcW w:type="dxa" w:w="2160"/>
          </w:tcPr>
          <w:p>
            <w:r>
              <w:t>6,911</w:t>
            </w:r>
          </w:p>
        </w:tc>
      </w:tr>
      <w:tr>
        <w:tc>
          <w:tcPr>
            <w:tcW w:type="dxa" w:w="2160"/>
          </w:tcPr>
          <w:p>
            <w:r>
              <w:t>2024-10</w:t>
            </w:r>
          </w:p>
        </w:tc>
        <w:tc>
          <w:tcPr>
            <w:tcW w:type="dxa" w:w="2160"/>
          </w:tcPr>
          <w:p>
            <w:r>
              <w:t>8,928</w:t>
            </w:r>
          </w:p>
        </w:tc>
        <w:tc>
          <w:tcPr>
            <w:tcW w:type="dxa" w:w="2160"/>
          </w:tcPr>
          <w:p>
            <w:r>
              <w:t>1,786</w:t>
            </w:r>
          </w:p>
        </w:tc>
        <w:tc>
          <w:tcPr>
            <w:tcW w:type="dxa" w:w="2160"/>
          </w:tcPr>
          <w:p>
            <w:r>
              <w:t>7,142</w:t>
            </w:r>
          </w:p>
        </w:tc>
      </w:tr>
      <w:tr>
        <w:tc>
          <w:tcPr>
            <w:tcW w:type="dxa" w:w="2160"/>
          </w:tcPr>
          <w:p>
            <w:r>
              <w:t>2024-11</w:t>
            </w:r>
          </w:p>
        </w:tc>
        <w:tc>
          <w:tcPr>
            <w:tcW w:type="dxa" w:w="2160"/>
          </w:tcPr>
          <w:p>
            <w:r>
              <w:t>8,579</w:t>
            </w:r>
          </w:p>
        </w:tc>
        <w:tc>
          <w:tcPr>
            <w:tcW w:type="dxa" w:w="2160"/>
          </w:tcPr>
          <w:p>
            <w:r>
              <w:t>1,728</w:t>
            </w:r>
          </w:p>
        </w:tc>
        <w:tc>
          <w:tcPr>
            <w:tcW w:type="dxa" w:w="2160"/>
          </w:tcPr>
          <w:p>
            <w:r>
              <w:t>6,851</w:t>
            </w:r>
          </w:p>
        </w:tc>
      </w:tr>
      <w:tr>
        <w:tc>
          <w:tcPr>
            <w:tcW w:type="dxa" w:w="2160"/>
          </w:tcPr>
          <w:p>
            <w:r>
              <w:t>2024-12</w:t>
            </w:r>
          </w:p>
        </w:tc>
        <w:tc>
          <w:tcPr>
            <w:tcW w:type="dxa" w:w="2160"/>
          </w:tcPr>
          <w:p>
            <w:r>
              <w:t>8,918</w:t>
            </w:r>
          </w:p>
        </w:tc>
        <w:tc>
          <w:tcPr>
            <w:tcW w:type="dxa" w:w="2160"/>
          </w:tcPr>
          <w:p>
            <w:r>
              <w:t>1,776</w:t>
            </w:r>
          </w:p>
        </w:tc>
        <w:tc>
          <w:tcPr>
            <w:tcW w:type="dxa" w:w="2160"/>
          </w:tcPr>
          <w:p>
            <w:r>
              <w:t>7,142</w:t>
            </w:r>
          </w:p>
        </w:tc>
      </w:tr>
    </w:tbl>
    <w:p/>
    <w:p>
      <w:r>
        <w:t>(2024-06 is absent — zero rows that month, per the missing-month gap noted above.)</w:t>
      </w:r>
    </w:p>
    <w:p>
      <w:pPr>
        <w:pStyle w:val="Heading3"/>
      </w:pPr>
      <w:r>
        <w:t>1.2 STEADY-only filtering (within the train window)</w:t>
      </w:r>
    </w:p>
    <w:p>
      <w:r>
        <w:t xml:space="preserve">Of the 18,340 training-window rows, 18,279 (99.7%) are classified </w:t>
      </w:r>
      <w:r>
        <w:rPr>
          <w:rFonts w:ascii="Consolas" w:hAnsi="Consolas"/>
          <w:sz w:val="20"/>
        </w:rPr>
        <w:t>STEADY</w:t>
      </w:r>
      <w:r>
        <w:t xml:space="preserve"> by </w:t>
      </w:r>
      <w:r>
        <w:rPr>
          <w:rFonts w:ascii="Consolas" w:hAnsi="Consolas"/>
          <w:sz w:val="20"/>
        </w:rPr>
        <w:t>engine/mode_classifier.py</w:t>
      </w:r>
      <w:r>
        <w:t xml:space="preserve"> (imported directly, not reimplemented). Mode breakdown in the training window: STEADY=18,279, LOW_LOAD=61. No </w:t>
      </w:r>
      <w:r>
        <w:rPr>
          <w:rFonts w:ascii="Consolas" w:hAnsi="Consolas"/>
          <w:sz w:val="20"/>
        </w:rPr>
        <w:t>STARTUP</w:t>
      </w:r>
      <w:r>
        <w:t>/</w:t>
      </w:r>
      <w:r>
        <w:rPr>
          <w:rFonts w:ascii="Consolas" w:hAnsi="Consolas"/>
          <w:sz w:val="20"/>
        </w:rPr>
        <w:t>SHUTDOWN</w:t>
      </w:r>
      <w:r>
        <w:t xml:space="preserve"> rows exist anywhere in this dataset (consistent with Module 1's own finding), so in practice this step only excludes </w:t>
      </w:r>
      <w:r>
        <w:rPr>
          <w:rFonts w:ascii="Consolas" w:hAnsi="Consolas"/>
          <w:sz w:val="20"/>
        </w:rPr>
        <w:t>LOW_LOAD</w:t>
      </w:r>
      <w:r>
        <w:t xml:space="preserve"> rows here — applied unconditionally regardless, so it stays correct if that ever changes. Only the STEADY rows above feed into §1.3.</w:t>
      </w:r>
    </w:p>
    <w:p>
      <w:pPr>
        <w:pStyle w:val="Heading3"/>
      </w:pPr>
      <w:r>
        <w:t>1.3 Data-quality filtering (on top of the STEADY filter)</w:t>
      </w:r>
    </w:p>
    <w:p>
      <w:r>
        <w:t>Even a STEADY-labeled row can carry a brief frozen sensor reading or an implausible spike that doesn't last long enough to flip the mode classifier's state — every one of Punarbasu's 9 cluster notes calls this out separately from operating-state classification. Three checks, combined per metric column (</w:t>
      </w:r>
      <w:r>
        <w:rPr>
          <w:rFonts w:ascii="Consolas" w:hAnsi="Consolas"/>
          <w:sz w:val="20"/>
        </w:rPr>
        <w:t>shared/data_quality.py</w:t>
      </w:r>
      <w:r>
        <w:t>):</w:t>
      </w:r>
    </w:p>
    <w:p>
      <w:r>
        <w:t xml:space="preserve">1. </w:t>
      </w:r>
      <w:r>
        <w:rPr>
          <w:b/>
        </w:rPr>
        <w:t>Frozen/stale streaks</w:t>
      </w:r>
      <w:r>
        <w:t xml:space="preserve"> — 12+ consecutive identical readings (60 min). Higher than the live dashboard's 3-row/15-min alerting threshold: investigating real data showed the live threshold over-triggers on Module 1's </w:t>
      </w:r>
      <w:r>
        <w:rPr>
          <w:rFonts w:ascii="Consolas" w:hAnsi="Consolas"/>
          <w:sz w:val="20"/>
        </w:rPr>
        <w:t>STACK_TEMPERATURE</w:t>
      </w:r>
      <w:r>
        <w:t>/</w:t>
      </w:r>
      <w:r>
        <w:rPr>
          <w:rFonts w:ascii="Consolas" w:hAnsi="Consolas"/>
          <w:sz w:val="20"/>
        </w:rPr>
        <w:t>FEGT</w:t>
      </w:r>
      <w:r>
        <w:t xml:space="preserve"> (whole-degree instrument resolution causes ordinary slow drift to repeat 3+ times) — raised uniformly for training-exclusion purposes only; the live per-tick detector is unchanged.</w:t>
      </w:r>
    </w:p>
    <w:p>
      <w:r>
        <w:t xml:space="preserve">2. </w:t>
      </w:r>
      <w:r>
        <w:rPr>
          <w:b/>
        </w:rPr>
        <w:t>Statistically implausible spikes</w:t>
      </w:r>
      <w:r>
        <w:t xml:space="preserve"> — &gt;6 rolling-window standard deviations from a short (5-row) centered rolling median.</w:t>
      </w:r>
    </w:p>
    <w:p>
      <w:r>
        <w:t xml:space="preserve">3. </w:t>
      </w:r>
      <w:r>
        <w:rPr>
          <w:b/>
        </w:rPr>
        <w:t>Known-bad timestamps</w:t>
      </w:r>
      <w:r>
        <w:t xml:space="preserve"> — specific rows with positive evidence of a genuine fault, found via this cluster's own Steam Flow-A/B tiebreak (§5): </w:t>
      </w:r>
      <w:r>
        <w:rPr>
          <w:rFonts w:ascii="Consolas" w:hAnsi="Consolas"/>
          <w:sz w:val="20"/>
        </w:rPr>
        <w:t>2024-02-11 13:30</w:t>
      </w:r>
      <w:r>
        <w:t xml:space="preserve">, </w:t>
      </w:r>
      <w:r>
        <w:rPr>
          <w:rFonts w:ascii="Consolas" w:hAnsi="Consolas"/>
          <w:sz w:val="20"/>
        </w:rPr>
        <w:t>2024-02-11 14:00</w:t>
      </w:r>
      <w:r>
        <w:t xml:space="preserve"> (both fall inside the training window). The related ambiguous row at </w:t>
      </w:r>
      <w:r>
        <w:rPr>
          <w:rFonts w:ascii="Consolas" w:hAnsi="Consolas"/>
          <w:sz w:val="20"/>
        </w:rPr>
        <w:t>2024-10-04 11:40</w:t>
      </w:r>
      <w:r>
        <w:t xml:space="preserve"> is deliberately NOT excluded — no positive evidence it's bad, only that the tiebreak couldn't tell.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 column</w:t>
            </w:r>
          </w:p>
        </w:tc>
        <w:tc>
          <w:tcPr>
            <w:tcW w:type="dxa" w:w="2880"/>
          </w:tcPr>
          <w:p>
            <w:r>
              <w:rPr>
                <w:b/>
              </w:rPr>
              <w:t>rows excluded (stale/spike/known-bad)</w:t>
            </w:r>
          </w:p>
        </w:tc>
        <w:tc>
          <w:tcPr>
            <w:tcW w:type="dxa" w:w="2880"/>
          </w:tcPr>
          <w:p>
            <w:r>
              <w:rPr>
                <w:b/>
              </w:rPr>
              <w:t>of n STEADY training rows</w:t>
            </w:r>
          </w:p>
        </w:tc>
      </w:tr>
      <w:tr>
        <w:tc>
          <w:tcPr>
            <w:tcW w:type="dxa" w:w="2880"/>
          </w:tcPr>
          <w:p>
            <w:r>
              <w:rPr>
                <w:rFonts w:ascii="Consolas" w:hAnsi="Consolas"/>
                <w:sz w:val="20"/>
              </w:rPr>
              <w:t>WATER_STEAM_BALANCE_DEV_PCT</w:t>
            </w:r>
          </w:p>
        </w:tc>
        <w:tc>
          <w:tcPr>
            <w:tcW w:type="dxa" w:w="2880"/>
          </w:tcPr>
          <w:p>
            <w:r>
              <w:t>0</w:t>
            </w:r>
          </w:p>
        </w:tc>
        <w:tc>
          <w:tcPr>
            <w:tcW w:type="dxa" w:w="2880"/>
          </w:tcPr>
          <w:p>
            <w:r>
              <w:t>18,279</w:t>
            </w:r>
          </w:p>
        </w:tc>
      </w:tr>
      <w:tr>
        <w:tc>
          <w:tcPr>
            <w:tcW w:type="dxa" w:w="2880"/>
          </w:tcPr>
          <w:p>
            <w:r>
              <w:rPr>
                <w:rFonts w:ascii="Consolas" w:hAnsi="Consolas"/>
                <w:sz w:val="20"/>
              </w:rPr>
              <w:t>TOTAL_COMBUSTION_AIR</w:t>
            </w:r>
          </w:p>
        </w:tc>
        <w:tc>
          <w:tcPr>
            <w:tcW w:type="dxa" w:w="2880"/>
          </w:tcPr>
          <w:p>
            <w:r>
              <w:t>0</w:t>
            </w:r>
          </w:p>
        </w:tc>
        <w:tc>
          <w:tcPr>
            <w:tcW w:type="dxa" w:w="2880"/>
          </w:tcPr>
          <w:p>
            <w:r>
              <w:t>18,279</w:t>
            </w:r>
          </w:p>
        </w:tc>
      </w:tr>
      <w:tr>
        <w:tc>
          <w:tcPr>
            <w:tcW w:type="dxa" w:w="2880"/>
          </w:tcPr>
          <w:p>
            <w:r>
              <w:rPr>
                <w:rFonts w:ascii="Consolas" w:hAnsi="Consolas"/>
                <w:sz w:val="20"/>
              </w:rPr>
              <w:t>SA_SIDE_DEV_PCT</w:t>
            </w:r>
          </w:p>
        </w:tc>
        <w:tc>
          <w:tcPr>
            <w:tcW w:type="dxa" w:w="2880"/>
          </w:tcPr>
          <w:p>
            <w:r>
              <w:t>0</w:t>
            </w:r>
          </w:p>
        </w:tc>
        <w:tc>
          <w:tcPr>
            <w:tcW w:type="dxa" w:w="2880"/>
          </w:tcPr>
          <w:p>
            <w:r>
              <w:t>18,279</w:t>
            </w:r>
          </w:p>
        </w:tc>
      </w:tr>
      <w:tr>
        <w:tc>
          <w:tcPr>
            <w:tcW w:type="dxa" w:w="2880"/>
          </w:tcPr>
          <w:p>
            <w:r>
              <w:rPr>
                <w:rFonts w:ascii="Consolas" w:hAnsi="Consolas"/>
                <w:sz w:val="20"/>
              </w:rPr>
              <w:t>TA_SIDE_DEV_PCT</w:t>
            </w:r>
          </w:p>
        </w:tc>
        <w:tc>
          <w:tcPr>
            <w:tcW w:type="dxa" w:w="2880"/>
          </w:tcPr>
          <w:p>
            <w:r>
              <w:t>0</w:t>
            </w:r>
          </w:p>
        </w:tc>
        <w:tc>
          <w:tcPr>
            <w:tcW w:type="dxa" w:w="2880"/>
          </w:tcPr>
          <w:p>
            <w:r>
              <w:t>18,279</w:t>
            </w:r>
          </w:p>
        </w:tc>
      </w:tr>
      <w:tr>
        <w:tc>
          <w:tcPr>
            <w:tcW w:type="dxa" w:w="2880"/>
          </w:tcPr>
          <w:p>
            <w:r>
              <w:rPr>
                <w:rFonts w:ascii="Consolas" w:hAnsi="Consolas"/>
                <w:sz w:val="20"/>
              </w:rPr>
              <w:t>TOTAL_MAIN_STEAM_FLOW</w:t>
            </w:r>
          </w:p>
        </w:tc>
        <w:tc>
          <w:tcPr>
            <w:tcW w:type="dxa" w:w="2880"/>
          </w:tcPr>
          <w:p>
            <w:r>
              <w:t>0</w:t>
            </w:r>
          </w:p>
        </w:tc>
        <w:tc>
          <w:tcPr>
            <w:tcW w:type="dxa" w:w="2880"/>
          </w:tcPr>
          <w:p>
            <w:r>
              <w:t>18,279</w:t>
            </w:r>
          </w:p>
        </w:tc>
      </w:tr>
      <w:tr>
        <w:tc>
          <w:tcPr>
            <w:tcW w:type="dxa" w:w="2880"/>
          </w:tcPr>
          <w:p>
            <w:r>
              <w:rPr>
                <w:rFonts w:ascii="Consolas" w:hAnsi="Consolas"/>
                <w:sz w:val="20"/>
              </w:rPr>
              <w:t>FEEDWATER_FLOW</w:t>
            </w:r>
          </w:p>
        </w:tc>
        <w:tc>
          <w:tcPr>
            <w:tcW w:type="dxa" w:w="2880"/>
          </w:tcPr>
          <w:p>
            <w:r>
              <w:t>0</w:t>
            </w:r>
          </w:p>
        </w:tc>
        <w:tc>
          <w:tcPr>
            <w:tcW w:type="dxa" w:w="2880"/>
          </w:tcPr>
          <w:p>
            <w:r>
              <w:t>18,279</w:t>
            </w:r>
          </w:p>
        </w:tc>
      </w:tr>
    </w:tbl>
    <w:p/>
    <w:p>
      <w:r>
        <w:t xml:space="preserve">All six metric columns show </w:t>
      </w:r>
      <w:r>
        <w:rPr>
          <w:b/>
        </w:rPr>
        <w:t>0 additional exclusions</w:t>
      </w:r>
      <w:r>
        <w:t xml:space="preserve">: the two known-bad 2024-02-11 timestamps are already absent from the STEADY training set (both independently classified </w:t>
      </w:r>
      <w:r>
        <w:rPr>
          <w:rFonts w:ascii="Consolas" w:hAnsi="Consolas"/>
          <w:sz w:val="20"/>
        </w:rPr>
        <w:t>LOW_LOAD</w:t>
      </w:r>
      <w:r>
        <w:t xml:space="preserve"> — the same sensor glitch that corrupted Steam Flow also dragged </w:t>
      </w:r>
      <w:r>
        <w:rPr>
          <w:rFonts w:ascii="Consolas" w:hAnsi="Consolas"/>
          <w:sz w:val="20"/>
        </w:rPr>
        <w:t>UNIT_LOAD</w:t>
      </w:r>
      <w:r>
        <w:t xml:space="preserve"> down, so §1.2's STEADY filter removed them before the quality filter even ran), and none of Cluster 1's derived ratio/sum columns exhibit the whole-number quantization that caused Module 1's stack_temp/fegt over-triggering. The known-bad list is kept as an explicit, auditable safety net regardless — it would matter if a future dataset's glitch didn't happen to coincide with a mode-classifier exclusion.</w:t>
      </w:r>
    </w:p>
    <w:p>
      <w:pPr>
        <w:pStyle w:val="Heading2"/>
      </w:pPr>
      <w:r>
        <w:t>2. Parameters &amp; Tolerances</w:t>
      </w:r>
    </w:p>
    <w:p>
      <w:r>
        <w:t xml:space="preserve">Every check below is defined in </w:t>
      </w:r>
      <w:r>
        <w:rPr>
          <w:rFonts w:ascii="Consolas" w:hAnsi="Consolas"/>
          <w:sz w:val="20"/>
        </w:rPr>
        <w:t>clusters/cluster_config.yaml</w:t>
      </w:r>
      <w:r>
        <w:t>. "Source" distinguishes three kinds of number: a value the technical note specifies explicitly, a value learned from this run's STEADY training data (and therefore specific to this dataset/split), or a user-configurable default this project chose because the doc doesn't give a number — all three are legitimate, but only the first is non-negotiable.</w:t>
      </w:r>
    </w:p>
    <w:p>
      <w:pPr>
        <w:pStyle w:val="Heading3"/>
      </w:pPr>
      <w:r>
        <w:t>Steam Flow A/B Balance</w:t>
      </w:r>
    </w:p>
    <w:p>
      <w:pPr>
        <w:pStyle w:val="ListBullet"/>
      </w:pPr>
      <w:r>
        <w:rPr>
          <w:b/>
        </w:rPr>
        <w:t>Members:</w:t>
      </w:r>
      <w:r>
        <w:t xml:space="preserve"> Steam Flow-A, Steam Flow-B (+ Feedwater Flow for the tiebreak)</w:t>
      </w:r>
    </w:p>
    <w:p>
      <w:pPr>
        <w:pStyle w:val="ListBullet"/>
      </w:pPr>
      <w:r>
        <w:rPr>
          <w:b/>
        </w:rPr>
        <w:t>Check performed:</w:t>
      </w:r>
      <w:r>
        <w:t xml:space="preserve"> |A − B| / avg(A, B) × 100 vs. flat tolerance; if exceeded, correlate each side against Feedwater Flow</w:t>
      </w:r>
    </w:p>
    <w:p>
      <w:pPr>
        <w:pStyle w:val="ListBullet"/>
      </w:pPr>
      <w:r>
        <w:rPr>
          <w:b/>
        </w:rPr>
        <w:t>Tolerance/range used:</w:t>
      </w:r>
      <w:r>
        <w:t xml:space="preserve"> 3.0% flat tolerance; tiebreak ambiguous margin 15.0 percentage points</w:t>
      </w:r>
    </w:p>
    <w:p>
      <w:pPr>
        <w:pStyle w:val="ListBullet"/>
      </w:pPr>
      <w:r>
        <w:rPr>
          <w:b/>
        </w:rPr>
        <w:t>Source:</w:t>
      </w:r>
      <w:r>
        <w:t xml:space="preserve"> </w:t>
      </w:r>
      <w:r>
        <w:rPr>
          <w:b/>
        </w:rPr>
        <w:t>Doc-specified</w:t>
      </w:r>
      <w:r>
        <w:t xml:space="preserve"> (3%, "acceptable variation 3% (Example User Input)", Load and Main Steam Flow (para 15-18)) for the tolerance. Ambiguous margin is a </w:t>
      </w:r>
      <w:r>
        <w:rPr>
          <w:b/>
        </w:rPr>
        <w:t>user-configurable default</w:t>
      </w:r>
      <w:r>
        <w:t xml:space="preserve"> (</w:t>
      </w:r>
      <w:r>
        <w:rPr>
          <w:rFonts w:ascii="Consolas" w:hAnsi="Consolas"/>
          <w:sz w:val="20"/>
        </w:rPr>
        <w:t>cluster_config.yaml: relationships.steam_flow_ab_balance.tiebreak_ambiguous_margin_pct</w:t>
      </w:r>
      <w:r>
        <w:t>) — not specified in the doc.</w:t>
      </w:r>
    </w:p>
    <w:p>
      <w:pPr>
        <w:pStyle w:val="Heading3"/>
      </w:pPr>
      <w:r>
        <w:t>Water-Steam Balance</w:t>
      </w:r>
    </w:p>
    <w:p>
      <w:pPr>
        <w:pStyle w:val="ListBullet"/>
      </w:pPr>
      <w:r>
        <w:rPr>
          <w:b/>
        </w:rPr>
        <w:t>Members:</w:t>
      </w:r>
      <w:r>
        <w:t xml:space="preserve"> Feedwater Flow, resolved Total Main Steam Flow (+ Load for the tiebreak)</w:t>
      </w:r>
    </w:p>
    <w:p>
      <w:pPr>
        <w:pStyle w:val="ListBullet"/>
      </w:pPr>
      <w:r>
        <w:rPr>
          <w:b/>
        </w:rPr>
        <w:t>Check performed:</w:t>
      </w:r>
      <w:r>
        <w:t xml:space="preserve"> (Feedwater − Total Steam) / Total Steam × 100 vs. learned band; if exceeded, correlate both sides against Load</w:t>
      </w:r>
    </w:p>
    <w:p>
      <w:pPr>
        <w:pStyle w:val="ListBullet"/>
      </w:pPr>
      <w:r>
        <w:rPr>
          <w:b/>
        </w:rPr>
        <w:t>Tolerance/range used:</w:t>
      </w:r>
      <w:r>
        <w:t xml:space="preserve"> mean ± 2.0×std per load bin — e.g. all-STEADY: +5.67% ± 1.85%</w:t>
      </w:r>
    </w:p>
    <w:p>
      <w:pPr>
        <w:pStyle w:val="ListBullet"/>
      </w:pPr>
      <w:r>
        <w:rPr>
          <w:b/>
        </w:rPr>
        <w:t>Source:</w:t>
      </w:r>
      <w:r>
        <w:t xml:space="preserve"> </w:t>
      </w:r>
      <w:r>
        <w:rPr>
          <w:b/>
        </w:rPr>
        <w:t>Learned from STEADY historical training data</w:t>
      </w:r>
      <w:r>
        <w:t xml:space="preserve"> (§4) — the doc gives no numeric tolerance for this check, only the formula. </w:t>
      </w:r>
      <w:r>
        <w:rPr>
          <w:rFonts w:ascii="Consolas" w:hAnsi="Consolas"/>
          <w:sz w:val="20"/>
        </w:rPr>
        <w:t>band_width_std=2.0</w:t>
      </w:r>
      <w:r>
        <w:t xml:space="preserve"> is a </w:t>
      </w:r>
      <w:r>
        <w:rPr>
          <w:b/>
        </w:rPr>
        <w:t>user-configurable default</w:t>
      </w:r>
      <w:r>
        <w:t xml:space="preserve"> (</w:t>
      </w:r>
      <w:r>
        <w:rPr>
          <w:rFonts w:ascii="Consolas" w:hAnsi="Consolas"/>
          <w:sz w:val="20"/>
        </w:rPr>
        <w:t>cluster_config.yaml: relationships.water_steam_balance.band_width_std</w:t>
      </w:r>
      <w:r>
        <w:t>). Ambiguous margin: same default as Steam A/B (15.0pp, also user-configurable).</w:t>
      </w:r>
    </w:p>
    <w:p>
      <w:pPr>
        <w:pStyle w:val="Heading3"/>
      </w:pPr>
      <w:r>
        <w:t>Total Combustion Air vs. Load</w:t>
      </w:r>
    </w:p>
    <w:p>
      <w:pPr>
        <w:pStyle w:val="ListBullet"/>
      </w:pPr>
      <w:r>
        <w:rPr>
          <w:b/>
        </w:rPr>
        <w:t>Members:</w:t>
      </w:r>
      <w:r>
        <w:t xml:space="preserve"> Total PA Flow, Total SA Flow, Total TA Flow, Load</w:t>
      </w:r>
    </w:p>
    <w:p>
      <w:pPr>
        <w:pStyle w:val="ListBullet"/>
      </w:pPr>
      <w:r>
        <w:rPr>
          <w:b/>
        </w:rPr>
        <w:t>Check performed:</w:t>
      </w:r>
      <w:r>
        <w:t xml:space="preserve"> Total PA + Total SA + Total TA vs. learned load-dependent envelope</w:t>
      </w:r>
    </w:p>
    <w:p>
      <w:pPr>
        <w:pStyle w:val="ListBullet"/>
      </w:pPr>
      <w:r>
        <w:rPr>
          <w:b/>
        </w:rPr>
        <w:t>Tolerance/range used:</w:t>
      </w:r>
      <w:r>
        <w:t xml:space="preserve"> mean ± 2.0×std per load bin — e.g. all-STEADY: 254.26 TPH ± 12.54 TPH</w:t>
      </w:r>
    </w:p>
    <w:p>
      <w:pPr>
        <w:pStyle w:val="ListBullet"/>
      </w:pPr>
      <w:r>
        <w:rPr>
          <w:b/>
        </w:rPr>
        <w:t>Source:</w:t>
      </w:r>
      <w:r>
        <w:t xml:space="preserve"> </w:t>
      </w:r>
      <w:r>
        <w:rPr>
          <w:b/>
        </w:rPr>
        <w:t>Learned from STEADY historical training data</w:t>
      </w:r>
      <w:r>
        <w:t xml:space="preserve"> (§7) — the doc specifies the load-dependent-envelope APPROACH but no numeric width. </w:t>
      </w:r>
      <w:r>
        <w:rPr>
          <w:rFonts w:ascii="Consolas" w:hAnsi="Consolas"/>
          <w:sz w:val="20"/>
        </w:rPr>
        <w:t>band_width_std=2.0</w:t>
      </w:r>
      <w:r>
        <w:t xml:space="preserve"> is a </w:t>
      </w:r>
      <w:r>
        <w:rPr>
          <w:b/>
        </w:rPr>
        <w:t>user-configurable default</w:t>
      </w:r>
      <w:r>
        <w:t xml:space="preserve"> (</w:t>
      </w:r>
      <w:r>
        <w:rPr>
          <w:rFonts w:ascii="Consolas" w:hAnsi="Consolas"/>
          <w:sz w:val="20"/>
        </w:rPr>
        <w:t>cluster_config.yaml: relationships.air_vs_load_envelope.band_width_std</w:t>
      </w:r>
      <w:r>
        <w:t>). No tiebreak — the doc defers root-cause diagnosis to a different cluster.</w:t>
      </w:r>
    </w:p>
    <w:p>
      <w:pPr>
        <w:pStyle w:val="Heading3"/>
      </w:pPr>
      <w:r>
        <w:t>Secondary Air A/B Balance</w:t>
      </w:r>
    </w:p>
    <w:p>
      <w:pPr>
        <w:pStyle w:val="ListBullet"/>
      </w:pPr>
      <w:r>
        <w:rPr>
          <w:b/>
        </w:rPr>
        <w:t>Members:</w:t>
      </w:r>
      <w:r>
        <w:t xml:space="preserve"> SA Flow-A, SA Flow-B</w:t>
      </w:r>
    </w:p>
    <w:p>
      <w:pPr>
        <w:pStyle w:val="ListBullet"/>
      </w:pPr>
      <w:r>
        <w:rPr>
          <w:b/>
        </w:rPr>
        <w:t>Check performed:</w:t>
      </w:r>
      <w:r>
        <w:t xml:space="preserve"> (SA-A − SA-B) / avg(SA-A, SA-B) × 100 vs. learned band</w:t>
      </w:r>
    </w:p>
    <w:p>
      <w:pPr>
        <w:pStyle w:val="ListBullet"/>
      </w:pPr>
      <w:r>
        <w:rPr>
          <w:b/>
        </w:rPr>
        <w:t>Tolerance/range used:</w:t>
      </w:r>
      <w:r>
        <w:t xml:space="preserve"> mean ± 2.0×std per load bin — e.g. all-STEADY: +0.66% ± 0.27%</w:t>
      </w:r>
    </w:p>
    <w:p>
      <w:pPr>
        <w:pStyle w:val="ListBullet"/>
      </w:pPr>
      <w:r>
        <w:rPr>
          <w:b/>
        </w:rPr>
        <w:t>Source:</w:t>
      </w:r>
      <w:r>
        <w:t xml:space="preserve"> </w:t>
      </w:r>
      <w:r>
        <w:rPr>
          <w:b/>
        </w:rPr>
        <w:t>Learned from STEADY historical training data</w:t>
      </w:r>
      <w:r>
        <w:t xml:space="preserve"> (§8) — doc gives the formula (Table 7) but explicitly no number ("a perfectly equal split should not be assumed"). </w:t>
      </w:r>
      <w:r>
        <w:rPr>
          <w:rFonts w:ascii="Consolas" w:hAnsi="Consolas"/>
          <w:sz w:val="20"/>
        </w:rPr>
        <w:t>band_width_std=2.0</w:t>
      </w:r>
      <w:r>
        <w:t xml:space="preserve"> is a </w:t>
      </w:r>
      <w:r>
        <w:rPr>
          <w:b/>
        </w:rPr>
        <w:t>user-configurable default</w:t>
      </w:r>
      <w:r>
        <w:t xml:space="preserve"> (</w:t>
      </w:r>
      <w:r>
        <w:rPr>
          <w:rFonts w:ascii="Consolas" w:hAnsi="Consolas"/>
          <w:sz w:val="20"/>
        </w:rPr>
        <w:t>cluster_config.yaml: relationships.sa_ab_balance.band_width_std</w:t>
      </w:r>
      <w:r>
        <w:t>). No tiebreak specified in the doc.</w:t>
      </w:r>
    </w:p>
    <w:p>
      <w:pPr>
        <w:pStyle w:val="Heading3"/>
      </w:pPr>
      <w:r>
        <w:t>Tertiary Air A/B Balance</w:t>
      </w:r>
    </w:p>
    <w:p>
      <w:pPr>
        <w:pStyle w:val="ListBullet"/>
      </w:pPr>
      <w:r>
        <w:rPr>
          <w:b/>
        </w:rPr>
        <w:t>Members:</w:t>
      </w:r>
      <w:r>
        <w:t xml:space="preserve"> TA Flow-A, TA Flow-B</w:t>
      </w:r>
    </w:p>
    <w:p>
      <w:pPr>
        <w:pStyle w:val="ListBullet"/>
      </w:pPr>
      <w:r>
        <w:rPr>
          <w:b/>
        </w:rPr>
        <w:t>Check performed:</w:t>
      </w:r>
      <w:r>
        <w:t xml:space="preserve"> (TA-A − TA-B) / avg(TA-A, TA-B) × 100 vs. learned band</w:t>
      </w:r>
    </w:p>
    <w:p>
      <w:pPr>
        <w:pStyle w:val="ListBullet"/>
      </w:pPr>
      <w:r>
        <w:rPr>
          <w:b/>
        </w:rPr>
        <w:t>Tolerance/range used:</w:t>
      </w:r>
      <w:r>
        <w:t xml:space="preserve"> mean ± 2.0×std per load bin — e.g. all-STEADY: +0.81% ± 0.27%</w:t>
      </w:r>
    </w:p>
    <w:p>
      <w:pPr>
        <w:pStyle w:val="ListBullet"/>
      </w:pPr>
      <w:r>
        <w:rPr>
          <w:b/>
        </w:rPr>
        <w:t>Source:</w:t>
      </w:r>
      <w:r>
        <w:t xml:space="preserve"> </w:t>
      </w:r>
      <w:r>
        <w:rPr>
          <w:b/>
        </w:rPr>
        <w:t>Learned from STEADY historical training data</w:t>
      </w:r>
      <w:r>
        <w:t xml:space="preserve"> (§8) — same doc formula pattern extended to TA by analogy (not explicit in the doc). </w:t>
      </w:r>
      <w:r>
        <w:rPr>
          <w:rFonts w:ascii="Consolas" w:hAnsi="Consolas"/>
          <w:sz w:val="20"/>
        </w:rPr>
        <w:t>band_width_std=2.0</w:t>
      </w:r>
      <w:r>
        <w:t xml:space="preserve"> is a </w:t>
      </w:r>
      <w:r>
        <w:rPr>
          <w:b/>
        </w:rPr>
        <w:t>user-configurable default</w:t>
      </w:r>
      <w:r>
        <w:t xml:space="preserve"> (</w:t>
      </w:r>
      <w:r>
        <w:rPr>
          <w:rFonts w:ascii="Consolas" w:hAnsi="Consolas"/>
          <w:sz w:val="20"/>
        </w:rPr>
        <w:t>cluster_config.yaml: relationships.ta_ab_balance.band_width_std</w:t>
      </w:r>
      <w:r>
        <w:t>). No tiebreak specified in the doc.</w:t>
      </w:r>
    </w:p>
    <w:p>
      <w:pPr>
        <w:pStyle w:val="Heading2"/>
      </w:pPr>
      <w:r>
        <w:t>3. Summary — status by relationship, before vs. after the fix</w:t>
      </w:r>
    </w:p>
    <w:p>
      <w:r>
        <w:rPr>
          <w:b/>
        </w:rPr>
        <w:t>After (this run):</w:t>
      </w:r>
      <w:r>
        <w:t xml:space="preserve"> test window only, 73,427 unseen rows, baseline trained on the separate 20% training window. </w:t>
      </w:r>
      <w:r>
        <w:rPr>
          <w:b/>
        </w:rPr>
        <w:t>Before (prior report version):</w:t>
      </w:r>
      <w:r>
        <w:t xml:space="preserve"> full 91,767-row dataset used for both training and scoring (leakage), no STEADY-training-window restriction beyond the original always-full-dataset STEADY filter, no stale/spike/known-bad exclusion. Shifts here are expected and correct — this is what testing on genuinely unseen data with a cleaner baseline is supposed to look like, not a regression.</w:t>
      </w:r>
    </w:p>
    <w:p>
      <w:pPr>
        <w:pStyle w:val="Heading3"/>
      </w:pPr>
      <w:r>
        <w:t>Steam Flow A/B Balance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w:t>
            </w:r>
          </w:p>
        </w:tc>
        <w:tc>
          <w:tcPr>
            <w:tcW w:type="dxa" w:w="2880"/>
          </w:tcPr>
          <w:p>
            <w:r>
              <w:rPr>
                <w:b/>
              </w:rPr>
              <w:t>before (full-dataset, leaked)</w:t>
            </w:r>
          </w:p>
        </w:tc>
        <w:tc>
          <w:tcPr>
            <w:tcW w:type="dxa" w:w="2880"/>
          </w:tcPr>
          <w:p>
            <w:r>
              <w:rPr>
                <w:b/>
              </w:rPr>
              <w:t>after (test-window, fixed)</w:t>
            </w:r>
          </w:p>
        </w:tc>
      </w:tr>
      <w:tr>
        <w:tc>
          <w:tcPr>
            <w:tcW w:type="dxa" w:w="2880"/>
          </w:tcPr>
          <w:p>
            <w:r>
              <w:t>consistent</w:t>
            </w:r>
          </w:p>
        </w:tc>
        <w:tc>
          <w:tcPr>
            <w:tcW w:type="dxa" w:w="2880"/>
          </w:tcPr>
          <w:p>
            <w:r>
              <w:t>91,763 (100.00%)</w:t>
            </w:r>
          </w:p>
        </w:tc>
        <w:tc>
          <w:tcPr>
            <w:tcW w:type="dxa" w:w="2880"/>
          </w:tcPr>
          <w:p>
            <w:r>
              <w:t>73,425 (100.00%)</w:t>
            </w:r>
          </w:p>
        </w:tc>
      </w:tr>
      <w:tr>
        <w:tc>
          <w:tcPr>
            <w:tcW w:type="dxa" w:w="2880"/>
          </w:tcPr>
          <w:p>
            <w:r>
              <w:t>outlier</w:t>
            </w:r>
          </w:p>
        </w:tc>
        <w:tc>
          <w:tcPr>
            <w:tcW w:type="dxa" w:w="2880"/>
          </w:tcPr>
          <w:p>
            <w:r>
              <w:t>3 (0.00%)</w:t>
            </w:r>
          </w:p>
        </w:tc>
        <w:tc>
          <w:tcPr>
            <w:tcW w:type="dxa" w:w="2880"/>
          </w:tcPr>
          <w:p>
            <w:r>
              <w:t>2 (0.00%)</w:t>
            </w:r>
          </w:p>
        </w:tc>
      </w:tr>
      <w:tr>
        <w:tc>
          <w:tcPr>
            <w:tcW w:type="dxa" w:w="2880"/>
          </w:tcPr>
          <w:p>
            <w:r>
              <w:t>ambiguous</w:t>
            </w:r>
          </w:p>
        </w:tc>
        <w:tc>
          <w:tcPr>
            <w:tcW w:type="dxa" w:w="2880"/>
          </w:tcPr>
          <w:p>
            <w:r>
              <w:t>1 (0.00%)</w:t>
            </w:r>
          </w:p>
        </w:tc>
        <w:tc>
          <w:tcPr>
            <w:tcW w:type="dxa" w:w="2880"/>
          </w:tcPr>
          <w:p>
            <w:r>
              <w:t>0 (0.00%)</w:t>
            </w:r>
          </w:p>
        </w:tc>
      </w:tr>
    </w:tbl>
    <w:p/>
    <w:p>
      <w:pPr>
        <w:pStyle w:val="Heading3"/>
      </w:pPr>
      <w:r>
        <w:t>Water-Steam Balance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w:t>
            </w:r>
          </w:p>
        </w:tc>
        <w:tc>
          <w:tcPr>
            <w:tcW w:type="dxa" w:w="2880"/>
          </w:tcPr>
          <w:p>
            <w:r>
              <w:rPr>
                <w:b/>
              </w:rPr>
              <w:t>before (full-dataset, leaked)</w:t>
            </w:r>
          </w:p>
        </w:tc>
        <w:tc>
          <w:tcPr>
            <w:tcW w:type="dxa" w:w="2880"/>
          </w:tcPr>
          <w:p>
            <w:r>
              <w:rPr>
                <w:b/>
              </w:rPr>
              <w:t>after (test-window, fixed)</w:t>
            </w:r>
          </w:p>
        </w:tc>
      </w:tr>
      <w:tr>
        <w:tc>
          <w:tcPr>
            <w:tcW w:type="dxa" w:w="2880"/>
          </w:tcPr>
          <w:p>
            <w:r>
              <w:t>consistent</w:t>
            </w:r>
          </w:p>
        </w:tc>
        <w:tc>
          <w:tcPr>
            <w:tcW w:type="dxa" w:w="2880"/>
          </w:tcPr>
          <w:p>
            <w:r>
              <w:t>86,719 (94.50%)</w:t>
            </w:r>
          </w:p>
        </w:tc>
        <w:tc>
          <w:tcPr>
            <w:tcW w:type="dxa" w:w="2880"/>
          </w:tcPr>
          <w:p>
            <w:r>
              <w:t>69,742 (94.98%)</w:t>
            </w:r>
          </w:p>
        </w:tc>
      </w:tr>
      <w:tr>
        <w:tc>
          <w:tcPr>
            <w:tcW w:type="dxa" w:w="2880"/>
          </w:tcPr>
          <w:p>
            <w:r>
              <w:t>outlier</w:t>
            </w:r>
          </w:p>
        </w:tc>
        <w:tc>
          <w:tcPr>
            <w:tcW w:type="dxa" w:w="2880"/>
          </w:tcPr>
          <w:p>
            <w:r>
              <w:t>7 (0.01%)</w:t>
            </w:r>
          </w:p>
        </w:tc>
        <w:tc>
          <w:tcPr>
            <w:tcW w:type="dxa" w:w="2880"/>
          </w:tcPr>
          <w:p>
            <w:r>
              <w:t>4 (0.01%)</w:t>
            </w:r>
          </w:p>
        </w:tc>
      </w:tr>
      <w:tr>
        <w:tc>
          <w:tcPr>
            <w:tcW w:type="dxa" w:w="2880"/>
          </w:tcPr>
          <w:p>
            <w:r>
              <w:t>ambiguous</w:t>
            </w:r>
          </w:p>
        </w:tc>
        <w:tc>
          <w:tcPr>
            <w:tcW w:type="dxa" w:w="2880"/>
          </w:tcPr>
          <w:p>
            <w:r>
              <w:t>5,041 (5.49%)</w:t>
            </w:r>
          </w:p>
        </w:tc>
        <w:tc>
          <w:tcPr>
            <w:tcW w:type="dxa" w:w="2880"/>
          </w:tcPr>
          <w:p>
            <w:r>
              <w:t>3,681 (5.01%)</w:t>
            </w:r>
          </w:p>
        </w:tc>
      </w:tr>
    </w:tbl>
    <w:p/>
    <w:p>
      <w:pPr>
        <w:pStyle w:val="Heading3"/>
      </w:pPr>
      <w:r>
        <w:t>Total Combustion Air vs. 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w:t>
            </w:r>
          </w:p>
        </w:tc>
        <w:tc>
          <w:tcPr>
            <w:tcW w:type="dxa" w:w="2880"/>
          </w:tcPr>
          <w:p>
            <w:r>
              <w:rPr>
                <w:b/>
              </w:rPr>
              <w:t>before (full-dataset, leaked)</w:t>
            </w:r>
          </w:p>
        </w:tc>
        <w:tc>
          <w:tcPr>
            <w:tcW w:type="dxa" w:w="2880"/>
          </w:tcPr>
          <w:p>
            <w:r>
              <w:rPr>
                <w:b/>
              </w:rPr>
              <w:t>after (test-window, fixed)</w:t>
            </w:r>
          </w:p>
        </w:tc>
      </w:tr>
      <w:tr>
        <w:tc>
          <w:tcPr>
            <w:tcW w:type="dxa" w:w="2880"/>
          </w:tcPr>
          <w:p>
            <w:r>
              <w:t>consistent</w:t>
            </w:r>
          </w:p>
        </w:tc>
        <w:tc>
          <w:tcPr>
            <w:tcW w:type="dxa" w:w="2880"/>
          </w:tcPr>
          <w:p>
            <w:r>
              <w:t>74,297 (80.96%)</w:t>
            </w:r>
          </w:p>
        </w:tc>
        <w:tc>
          <w:tcPr>
            <w:tcW w:type="dxa" w:w="2880"/>
          </w:tcPr>
          <w:p>
            <w:r>
              <w:t>59,024 (80.38%)</w:t>
            </w:r>
          </w:p>
        </w:tc>
      </w:tr>
      <w:tr>
        <w:tc>
          <w:tcPr>
            <w:tcW w:type="dxa" w:w="2880"/>
          </w:tcPr>
          <w:p>
            <w:r>
              <w:t>outlier</w:t>
            </w:r>
          </w:p>
        </w:tc>
        <w:tc>
          <w:tcPr>
            <w:tcW w:type="dxa" w:w="2880"/>
          </w:tcPr>
          <w:p>
            <w:r>
              <w:t>2,460 (2.68%)</w:t>
            </w:r>
          </w:p>
        </w:tc>
        <w:tc>
          <w:tcPr>
            <w:tcW w:type="dxa" w:w="2880"/>
          </w:tcPr>
          <w:p>
            <w:r>
              <w:t>2,818 (3.84%)</w:t>
            </w:r>
          </w:p>
        </w:tc>
      </w:tr>
      <w:tr>
        <w:tc>
          <w:tcPr>
            <w:tcW w:type="dxa" w:w="2880"/>
          </w:tcPr>
          <w:p>
            <w:r>
              <w:t>unknown</w:t>
            </w:r>
          </w:p>
        </w:tc>
        <w:tc>
          <w:tcPr>
            <w:tcW w:type="dxa" w:w="2880"/>
          </w:tcPr>
          <w:p>
            <w:r>
              <w:t>15,010 (16.36%)</w:t>
            </w:r>
          </w:p>
        </w:tc>
        <w:tc>
          <w:tcPr>
            <w:tcW w:type="dxa" w:w="2880"/>
          </w:tcPr>
          <w:p>
            <w:r>
              <w:t>11,585 (15.78%)</w:t>
            </w:r>
          </w:p>
        </w:tc>
      </w:tr>
    </w:tbl>
    <w:p/>
    <w:p>
      <w:pPr>
        <w:pStyle w:val="Heading3"/>
      </w:pPr>
      <w:r>
        <w:t>Secondary Air A/B Balance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w:t>
            </w:r>
          </w:p>
        </w:tc>
        <w:tc>
          <w:tcPr>
            <w:tcW w:type="dxa" w:w="2880"/>
          </w:tcPr>
          <w:p>
            <w:r>
              <w:rPr>
                <w:b/>
              </w:rPr>
              <w:t>before (full-dataset, leaked)</w:t>
            </w:r>
          </w:p>
        </w:tc>
        <w:tc>
          <w:tcPr>
            <w:tcW w:type="dxa" w:w="2880"/>
          </w:tcPr>
          <w:p>
            <w:r>
              <w:rPr>
                <w:b/>
              </w:rPr>
              <w:t>after (test-window, fixed)</w:t>
            </w:r>
          </w:p>
        </w:tc>
      </w:tr>
      <w:tr>
        <w:tc>
          <w:tcPr>
            <w:tcW w:type="dxa" w:w="2880"/>
          </w:tcPr>
          <w:p>
            <w:r>
              <w:t>consistent</w:t>
            </w:r>
          </w:p>
        </w:tc>
        <w:tc>
          <w:tcPr>
            <w:tcW w:type="dxa" w:w="2880"/>
          </w:tcPr>
          <w:p>
            <w:r>
              <w:t>72,692 (79.21%)</w:t>
            </w:r>
          </w:p>
        </w:tc>
        <w:tc>
          <w:tcPr>
            <w:tcW w:type="dxa" w:w="2880"/>
          </w:tcPr>
          <w:p>
            <w:r>
              <w:t>59,030 (80.39%)</w:t>
            </w:r>
          </w:p>
        </w:tc>
      </w:tr>
      <w:tr>
        <w:tc>
          <w:tcPr>
            <w:tcW w:type="dxa" w:w="2880"/>
          </w:tcPr>
          <w:p>
            <w:r>
              <w:t>outlier</w:t>
            </w:r>
          </w:p>
        </w:tc>
        <w:tc>
          <w:tcPr>
            <w:tcW w:type="dxa" w:w="2880"/>
          </w:tcPr>
          <w:p>
            <w:r>
              <w:t>4,293 (4.68%)</w:t>
            </w:r>
          </w:p>
        </w:tc>
        <w:tc>
          <w:tcPr>
            <w:tcW w:type="dxa" w:w="2880"/>
          </w:tcPr>
          <w:p>
            <w:r>
              <w:t>2,812 (3.83%)</w:t>
            </w:r>
          </w:p>
        </w:tc>
      </w:tr>
      <w:tr>
        <w:tc>
          <w:tcPr>
            <w:tcW w:type="dxa" w:w="2880"/>
          </w:tcPr>
          <w:p>
            <w:r>
              <w:t>unknown</w:t>
            </w:r>
          </w:p>
        </w:tc>
        <w:tc>
          <w:tcPr>
            <w:tcW w:type="dxa" w:w="2880"/>
          </w:tcPr>
          <w:p>
            <w:r>
              <w:t>14,782 (16.11%)</w:t>
            </w:r>
          </w:p>
        </w:tc>
        <w:tc>
          <w:tcPr>
            <w:tcW w:type="dxa" w:w="2880"/>
          </w:tcPr>
          <w:p>
            <w:r>
              <w:t>11,585 (15.78%)</w:t>
            </w:r>
          </w:p>
        </w:tc>
      </w:tr>
    </w:tbl>
    <w:p/>
    <w:p>
      <w:pPr>
        <w:pStyle w:val="Heading3"/>
      </w:pPr>
      <w:r>
        <w:t>Tertiary Air A/B Balance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w:t>
            </w:r>
          </w:p>
        </w:tc>
        <w:tc>
          <w:tcPr>
            <w:tcW w:type="dxa" w:w="2880"/>
          </w:tcPr>
          <w:p>
            <w:r>
              <w:rPr>
                <w:b/>
              </w:rPr>
              <w:t>before (full-dataset, leaked)</w:t>
            </w:r>
          </w:p>
        </w:tc>
        <w:tc>
          <w:tcPr>
            <w:tcW w:type="dxa" w:w="2880"/>
          </w:tcPr>
          <w:p>
            <w:r>
              <w:rPr>
                <w:b/>
              </w:rPr>
              <w:t>after (test-window, fixed)</w:t>
            </w:r>
          </w:p>
        </w:tc>
      </w:tr>
      <w:tr>
        <w:tc>
          <w:tcPr>
            <w:tcW w:type="dxa" w:w="2880"/>
          </w:tcPr>
          <w:p>
            <w:r>
              <w:t>consistent</w:t>
            </w:r>
          </w:p>
        </w:tc>
        <w:tc>
          <w:tcPr>
            <w:tcW w:type="dxa" w:w="2880"/>
          </w:tcPr>
          <w:p>
            <w:r>
              <w:t>88,439 (96.37%)</w:t>
            </w:r>
          </w:p>
        </w:tc>
        <w:tc>
          <w:tcPr>
            <w:tcW w:type="dxa" w:w="2880"/>
          </w:tcPr>
          <w:p>
            <w:r>
              <w:t>64,777 (88.22%)</w:t>
            </w:r>
          </w:p>
        </w:tc>
      </w:tr>
      <w:tr>
        <w:tc>
          <w:tcPr>
            <w:tcW w:type="dxa" w:w="2880"/>
          </w:tcPr>
          <w:p>
            <w:r>
              <w:t>outlier</w:t>
            </w:r>
          </w:p>
        </w:tc>
        <w:tc>
          <w:tcPr>
            <w:tcW w:type="dxa" w:w="2880"/>
          </w:tcPr>
          <w:p>
            <w:r>
              <w:t>3,100 (3.38%)</w:t>
            </w:r>
          </w:p>
        </w:tc>
        <w:tc>
          <w:tcPr>
            <w:tcW w:type="dxa" w:w="2880"/>
          </w:tcPr>
          <w:p>
            <w:r>
              <w:t>8,650 (11.78%)</w:t>
            </w:r>
          </w:p>
        </w:tc>
      </w:tr>
      <w:tr>
        <w:tc>
          <w:tcPr>
            <w:tcW w:type="dxa" w:w="2880"/>
          </w:tcPr>
          <w:p>
            <w:r>
              <w:t>unknown</w:t>
            </w:r>
          </w:p>
        </w:tc>
        <w:tc>
          <w:tcPr>
            <w:tcW w:type="dxa" w:w="2880"/>
          </w:tcPr>
          <w:p>
            <w:r>
              <w:t>228 (0.25%)</w:t>
            </w:r>
          </w:p>
        </w:tc>
        <w:tc>
          <w:tcPr>
            <w:tcW w:type="dxa" w:w="2880"/>
          </w:tcPr>
          <w:p>
            <w:r>
              <w:t>0 (0.00%)</w:t>
            </w:r>
          </w:p>
        </w:tc>
      </w:tr>
    </w:tbl>
    <w:p/>
    <w:p>
      <w:pPr>
        <w:pStyle w:val="Heading3"/>
      </w:pPr>
      <w:r>
        <w:t>Seasonal drift: why an earlier version of this split inflated Air Envelope / SA Balance outliers, and how monthly stratification fixes it</w:t>
      </w:r>
    </w:p>
    <w:p>
      <w:r>
        <w:t>An intermediate version of this fix (single first-20%-of-the-year block, 2024-01-18 -&gt; 2024-03-27) showed Total Combustion Air's outlier rate rise to 37.57% and Secondary Air balance to 13.82% — both far above the original (leaked) baseline's 2.68% / 4.68%. Investigating why (same load band, 100-110% MCR, across the year) found a genuine, sustained seasonal shift the Jan-Mar-only training window had no way to know about: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month</w:t>
            </w:r>
          </w:p>
        </w:tc>
        <w:tc>
          <w:tcPr>
            <w:tcW w:type="dxa" w:w="2160"/>
          </w:tcPr>
          <w:p>
            <w:r>
              <w:rPr>
                <w:b/>
              </w:rPr>
              <w:t>mean</w:t>
            </w:r>
          </w:p>
        </w:tc>
        <w:tc>
          <w:tcPr>
            <w:tcW w:type="dxa" w:w="2160"/>
          </w:tcPr>
          <w:p>
            <w:r>
              <w:rPr>
                <w:b/>
              </w:rPr>
              <w:t>std</w:t>
            </w:r>
          </w:p>
        </w:tc>
        <w:tc>
          <w:tcPr>
            <w:tcW w:type="dxa" w:w="2160"/>
          </w:tcPr>
          <w:p>
            <w:r>
              <w:rPr>
                <w:b/>
              </w:rPr>
              <w:t>n</w:t>
            </w:r>
          </w:p>
        </w:tc>
      </w:tr>
      <w:tr>
        <w:tc>
          <w:tcPr>
            <w:tcW w:type="dxa" w:w="2160"/>
          </w:tcPr>
          <w:p>
            <w:r>
              <w:t>2024-01</w:t>
            </w:r>
          </w:p>
        </w:tc>
        <w:tc>
          <w:tcPr>
            <w:tcW w:type="dxa" w:w="2160"/>
          </w:tcPr>
          <w:p>
            <w:r>
              <w:t>250.03</w:t>
            </w:r>
          </w:p>
        </w:tc>
        <w:tc>
          <w:tcPr>
            <w:tcW w:type="dxa" w:w="2160"/>
          </w:tcPr>
          <w:p>
            <w:r>
              <w:t>11.25</w:t>
            </w:r>
          </w:p>
        </w:tc>
        <w:tc>
          <w:tcPr>
            <w:tcW w:type="dxa" w:w="2160"/>
          </w:tcPr>
          <w:p>
            <w:r>
              <w:t>829</w:t>
            </w:r>
          </w:p>
        </w:tc>
      </w:tr>
      <w:tr>
        <w:tc>
          <w:tcPr>
            <w:tcW w:type="dxa" w:w="2160"/>
          </w:tcPr>
          <w:p>
            <w:r>
              <w:t>2024-02</w:t>
            </w:r>
          </w:p>
        </w:tc>
        <w:tc>
          <w:tcPr>
            <w:tcW w:type="dxa" w:w="2160"/>
          </w:tcPr>
          <w:p>
            <w:r>
              <w:t>247.96</w:t>
            </w:r>
          </w:p>
        </w:tc>
        <w:tc>
          <w:tcPr>
            <w:tcW w:type="dxa" w:w="2160"/>
          </w:tcPr>
          <w:p>
            <w:r>
              <w:t>9.50</w:t>
            </w:r>
          </w:p>
        </w:tc>
        <w:tc>
          <w:tcPr>
            <w:tcW w:type="dxa" w:w="2160"/>
          </w:tcPr>
          <w:p>
            <w:r>
              <w:t>2,534</w:t>
            </w:r>
          </w:p>
        </w:tc>
      </w:tr>
      <w:tr>
        <w:tc>
          <w:tcPr>
            <w:tcW w:type="dxa" w:w="2160"/>
          </w:tcPr>
          <w:p>
            <w:r>
              <w:t>2024-03</w:t>
            </w:r>
          </w:p>
        </w:tc>
        <w:tc>
          <w:tcPr>
            <w:tcW w:type="dxa" w:w="2160"/>
          </w:tcPr>
          <w:p>
            <w:r>
              <w:t>251.55</w:t>
            </w:r>
          </w:p>
        </w:tc>
        <w:tc>
          <w:tcPr>
            <w:tcW w:type="dxa" w:w="2160"/>
          </w:tcPr>
          <w:p>
            <w:r>
              <w:t>4.42</w:t>
            </w:r>
          </w:p>
        </w:tc>
        <w:tc>
          <w:tcPr>
            <w:tcW w:type="dxa" w:w="2160"/>
          </w:tcPr>
          <w:p>
            <w:r>
              <w:t>8,375</w:t>
            </w:r>
          </w:p>
        </w:tc>
      </w:tr>
      <w:tr>
        <w:tc>
          <w:tcPr>
            <w:tcW w:type="dxa" w:w="2160"/>
          </w:tcPr>
          <w:p>
            <w:r>
              <w:t>2024-04</w:t>
            </w:r>
          </w:p>
        </w:tc>
        <w:tc>
          <w:tcPr>
            <w:tcW w:type="dxa" w:w="2160"/>
          </w:tcPr>
          <w:p>
            <w:r>
              <w:t>240.37</w:t>
            </w:r>
          </w:p>
        </w:tc>
        <w:tc>
          <w:tcPr>
            <w:tcW w:type="dxa" w:w="2160"/>
          </w:tcPr>
          <w:p>
            <w:r>
              <w:t>6.63</w:t>
            </w:r>
          </w:p>
        </w:tc>
        <w:tc>
          <w:tcPr>
            <w:tcW w:type="dxa" w:w="2160"/>
          </w:tcPr>
          <w:p>
            <w:r>
              <w:t>5,897</w:t>
            </w:r>
          </w:p>
        </w:tc>
      </w:tr>
      <w:tr>
        <w:tc>
          <w:tcPr>
            <w:tcW w:type="dxa" w:w="2160"/>
          </w:tcPr>
          <w:p>
            <w:r>
              <w:t>2024-05</w:t>
            </w:r>
          </w:p>
        </w:tc>
        <w:tc>
          <w:tcPr>
            <w:tcW w:type="dxa" w:w="2160"/>
          </w:tcPr>
          <w:p>
            <w:r>
              <w:t>248.08</w:t>
            </w:r>
          </w:p>
        </w:tc>
        <w:tc>
          <w:tcPr>
            <w:tcW w:type="dxa" w:w="2160"/>
          </w:tcPr>
          <w:p>
            <w:r>
              <w:t>5.38</w:t>
            </w:r>
          </w:p>
        </w:tc>
        <w:tc>
          <w:tcPr>
            <w:tcW w:type="dxa" w:w="2160"/>
          </w:tcPr>
          <w:p>
            <w:r>
              <w:t>6,436</w:t>
            </w:r>
          </w:p>
        </w:tc>
      </w:tr>
      <w:tr>
        <w:tc>
          <w:tcPr>
            <w:tcW w:type="dxa" w:w="2160"/>
          </w:tcPr>
          <w:p>
            <w:r>
              <w:t>2024-07</w:t>
            </w:r>
          </w:p>
        </w:tc>
        <w:tc>
          <w:tcPr>
            <w:tcW w:type="dxa" w:w="2160"/>
          </w:tcPr>
          <w:p>
            <w:r>
              <w:t>265.09</w:t>
            </w:r>
          </w:p>
        </w:tc>
        <w:tc>
          <w:tcPr>
            <w:tcW w:type="dxa" w:w="2160"/>
          </w:tcPr>
          <w:p>
            <w:r>
              <w:t>8.29</w:t>
            </w:r>
          </w:p>
        </w:tc>
        <w:tc>
          <w:tcPr>
            <w:tcW w:type="dxa" w:w="2160"/>
          </w:tcPr>
          <w:p>
            <w:r>
              <w:t>6,136</w:t>
            </w:r>
          </w:p>
        </w:tc>
      </w:tr>
      <w:tr>
        <w:tc>
          <w:tcPr>
            <w:tcW w:type="dxa" w:w="2160"/>
          </w:tcPr>
          <w:p>
            <w:r>
              <w:t>2024-08</w:t>
            </w:r>
          </w:p>
        </w:tc>
        <w:tc>
          <w:tcPr>
            <w:tcW w:type="dxa" w:w="2160"/>
          </w:tcPr>
          <w:p>
            <w:r>
              <w:t>261.80</w:t>
            </w:r>
          </w:p>
        </w:tc>
        <w:tc>
          <w:tcPr>
            <w:tcW w:type="dxa" w:w="2160"/>
          </w:tcPr>
          <w:p>
            <w:r>
              <w:t>6.67</w:t>
            </w:r>
          </w:p>
        </w:tc>
        <w:tc>
          <w:tcPr>
            <w:tcW w:type="dxa" w:w="2160"/>
          </w:tcPr>
          <w:p>
            <w:r>
              <w:t>361</w:t>
            </w:r>
          </w:p>
        </w:tc>
      </w:tr>
      <w:tr>
        <w:tc>
          <w:tcPr>
            <w:tcW w:type="dxa" w:w="2160"/>
          </w:tcPr>
          <w:p>
            <w:r>
              <w:t>2024-09</w:t>
            </w:r>
          </w:p>
        </w:tc>
        <w:tc>
          <w:tcPr>
            <w:tcW w:type="dxa" w:w="2160"/>
          </w:tcPr>
          <w:p>
            <w:r>
              <w:t>264.52</w:t>
            </w:r>
          </w:p>
        </w:tc>
        <w:tc>
          <w:tcPr>
            <w:tcW w:type="dxa" w:w="2160"/>
          </w:tcPr>
          <w:p>
            <w:r>
              <w:t>4.63</w:t>
            </w:r>
          </w:p>
        </w:tc>
        <w:tc>
          <w:tcPr>
            <w:tcW w:type="dxa" w:w="2160"/>
          </w:tcPr>
          <w:p>
            <w:r>
              <w:t>5,233</w:t>
            </w:r>
          </w:p>
        </w:tc>
      </w:tr>
      <w:tr>
        <w:tc>
          <w:tcPr>
            <w:tcW w:type="dxa" w:w="2160"/>
          </w:tcPr>
          <w:p>
            <w:r>
              <w:t>2024-10</w:t>
            </w:r>
          </w:p>
        </w:tc>
        <w:tc>
          <w:tcPr>
            <w:tcW w:type="dxa" w:w="2160"/>
          </w:tcPr>
          <w:p>
            <w:r>
              <w:t>269.15</w:t>
            </w:r>
          </w:p>
        </w:tc>
        <w:tc>
          <w:tcPr>
            <w:tcW w:type="dxa" w:w="2160"/>
          </w:tcPr>
          <w:p>
            <w:r>
              <w:t>3.86</w:t>
            </w:r>
          </w:p>
        </w:tc>
        <w:tc>
          <w:tcPr>
            <w:tcW w:type="dxa" w:w="2160"/>
          </w:tcPr>
          <w:p>
            <w:r>
              <w:t>6,633</w:t>
            </w:r>
          </w:p>
        </w:tc>
      </w:tr>
      <w:tr>
        <w:tc>
          <w:tcPr>
            <w:tcW w:type="dxa" w:w="2160"/>
          </w:tcPr>
          <w:p>
            <w:r>
              <w:t>2024-11</w:t>
            </w:r>
          </w:p>
        </w:tc>
        <w:tc>
          <w:tcPr>
            <w:tcW w:type="dxa" w:w="2160"/>
          </w:tcPr>
          <w:p>
            <w:r>
              <w:t>265.42</w:t>
            </w:r>
          </w:p>
        </w:tc>
        <w:tc>
          <w:tcPr>
            <w:tcW w:type="dxa" w:w="2160"/>
          </w:tcPr>
          <w:p>
            <w:r>
              <w:t>6.53</w:t>
            </w:r>
          </w:p>
        </w:tc>
        <w:tc>
          <w:tcPr>
            <w:tcW w:type="dxa" w:w="2160"/>
          </w:tcPr>
          <w:p>
            <w:r>
              <w:t>5,422</w:t>
            </w:r>
          </w:p>
        </w:tc>
      </w:tr>
      <w:tr>
        <w:tc>
          <w:tcPr>
            <w:tcW w:type="dxa" w:w="2160"/>
          </w:tcPr>
          <w:p>
            <w:r>
              <w:t>2024-12</w:t>
            </w:r>
          </w:p>
        </w:tc>
        <w:tc>
          <w:tcPr>
            <w:tcW w:type="dxa" w:w="2160"/>
          </w:tcPr>
          <w:p>
            <w:r>
              <w:t>263.49</w:t>
            </w:r>
          </w:p>
        </w:tc>
        <w:tc>
          <w:tcPr>
            <w:tcW w:type="dxa" w:w="2160"/>
          </w:tcPr>
          <w:p>
            <w:r>
              <w:t>5.38</w:t>
            </w:r>
          </w:p>
        </w:tc>
        <w:tc>
          <w:tcPr>
            <w:tcW w:type="dxa" w:w="2160"/>
          </w:tcPr>
          <w:p>
            <w:r>
              <w:t>7,247</w:t>
            </w:r>
          </w:p>
        </w:tc>
      </w:tr>
    </w:tbl>
    <w:p/>
    <w:p>
      <w:r>
        <w:t>Mean Total Combustion Air at this load band rises from ~250 TPH in Jan-May to ~263-269 TPH from July onward — a 15-19 TPH shift, several times the training window's own std (ambient/seasonal effect, a coal-quality or combustion-tuning change, or an instrument recalibration — this data alone can't distinguish which). Secondary Air side-balance showed the same pattern, smaller in scale: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month</w:t>
            </w:r>
          </w:p>
        </w:tc>
        <w:tc>
          <w:tcPr>
            <w:tcW w:type="dxa" w:w="2160"/>
          </w:tcPr>
          <w:p>
            <w:r>
              <w:rPr>
                <w:b/>
              </w:rPr>
              <w:t>mean</w:t>
            </w:r>
          </w:p>
        </w:tc>
        <w:tc>
          <w:tcPr>
            <w:tcW w:type="dxa" w:w="2160"/>
          </w:tcPr>
          <w:p>
            <w:r>
              <w:rPr>
                <w:b/>
              </w:rPr>
              <w:t>std</w:t>
            </w:r>
          </w:p>
        </w:tc>
        <w:tc>
          <w:tcPr>
            <w:tcW w:type="dxa" w:w="2160"/>
          </w:tcPr>
          <w:p>
            <w:r>
              <w:rPr>
                <w:b/>
              </w:rPr>
              <w:t>n</w:t>
            </w:r>
          </w:p>
        </w:tc>
      </w:tr>
      <w:tr>
        <w:tc>
          <w:tcPr>
            <w:tcW w:type="dxa" w:w="2160"/>
          </w:tcPr>
          <w:p>
            <w:r>
              <w:t>2024-01</w:t>
            </w:r>
          </w:p>
        </w:tc>
        <w:tc>
          <w:tcPr>
            <w:tcW w:type="dxa" w:w="2160"/>
          </w:tcPr>
          <w:p>
            <w:r>
              <w:t>0.15</w:t>
            </w:r>
          </w:p>
        </w:tc>
        <w:tc>
          <w:tcPr>
            <w:tcW w:type="dxa" w:w="2160"/>
          </w:tcPr>
          <w:p>
            <w:r>
              <w:t>0.14</w:t>
            </w:r>
          </w:p>
        </w:tc>
        <w:tc>
          <w:tcPr>
            <w:tcW w:type="dxa" w:w="2160"/>
          </w:tcPr>
          <w:p>
            <w:r>
              <w:t>844</w:t>
            </w:r>
          </w:p>
        </w:tc>
      </w:tr>
      <w:tr>
        <w:tc>
          <w:tcPr>
            <w:tcW w:type="dxa" w:w="2160"/>
          </w:tcPr>
          <w:p>
            <w:r>
              <w:t>2024-02</w:t>
            </w:r>
          </w:p>
        </w:tc>
        <w:tc>
          <w:tcPr>
            <w:tcW w:type="dxa" w:w="2160"/>
          </w:tcPr>
          <w:p>
            <w:r>
              <w:t>0.52</w:t>
            </w:r>
          </w:p>
        </w:tc>
        <w:tc>
          <w:tcPr>
            <w:tcW w:type="dxa" w:w="2160"/>
          </w:tcPr>
          <w:p>
            <w:r>
              <w:t>0.15</w:t>
            </w:r>
          </w:p>
        </w:tc>
        <w:tc>
          <w:tcPr>
            <w:tcW w:type="dxa" w:w="2160"/>
          </w:tcPr>
          <w:p>
            <w:r>
              <w:t>2,534</w:t>
            </w:r>
          </w:p>
        </w:tc>
      </w:tr>
      <w:tr>
        <w:tc>
          <w:tcPr>
            <w:tcW w:type="dxa" w:w="2160"/>
          </w:tcPr>
          <w:p>
            <w:r>
              <w:t>2024-03</w:t>
            </w:r>
          </w:p>
        </w:tc>
        <w:tc>
          <w:tcPr>
            <w:tcW w:type="dxa" w:w="2160"/>
          </w:tcPr>
          <w:p>
            <w:r>
              <w:t>0.77</w:t>
            </w:r>
          </w:p>
        </w:tc>
        <w:tc>
          <w:tcPr>
            <w:tcW w:type="dxa" w:w="2160"/>
          </w:tcPr>
          <w:p>
            <w:r>
              <w:t>0.09</w:t>
            </w:r>
          </w:p>
        </w:tc>
        <w:tc>
          <w:tcPr>
            <w:tcW w:type="dxa" w:w="2160"/>
          </w:tcPr>
          <w:p>
            <w:r>
              <w:t>8,375</w:t>
            </w:r>
          </w:p>
        </w:tc>
      </w:tr>
      <w:tr>
        <w:tc>
          <w:tcPr>
            <w:tcW w:type="dxa" w:w="2160"/>
          </w:tcPr>
          <w:p>
            <w:r>
              <w:t>2024-04</w:t>
            </w:r>
          </w:p>
        </w:tc>
        <w:tc>
          <w:tcPr>
            <w:tcW w:type="dxa" w:w="2160"/>
          </w:tcPr>
          <w:p>
            <w:r>
              <w:t>0.86</w:t>
            </w:r>
          </w:p>
        </w:tc>
        <w:tc>
          <w:tcPr>
            <w:tcW w:type="dxa" w:w="2160"/>
          </w:tcPr>
          <w:p>
            <w:r>
              <w:t>0.15</w:t>
            </w:r>
          </w:p>
        </w:tc>
        <w:tc>
          <w:tcPr>
            <w:tcW w:type="dxa" w:w="2160"/>
          </w:tcPr>
          <w:p>
            <w:r>
              <w:t>5,897</w:t>
            </w:r>
          </w:p>
        </w:tc>
      </w:tr>
      <w:tr>
        <w:tc>
          <w:tcPr>
            <w:tcW w:type="dxa" w:w="2160"/>
          </w:tcPr>
          <w:p>
            <w:r>
              <w:t>2024-05</w:t>
            </w:r>
          </w:p>
        </w:tc>
        <w:tc>
          <w:tcPr>
            <w:tcW w:type="dxa" w:w="2160"/>
          </w:tcPr>
          <w:p>
            <w:r>
              <w:t>0.93</w:t>
            </w:r>
          </w:p>
        </w:tc>
        <w:tc>
          <w:tcPr>
            <w:tcW w:type="dxa" w:w="2160"/>
          </w:tcPr>
          <w:p>
            <w:r>
              <w:t>0.13</w:t>
            </w:r>
          </w:p>
        </w:tc>
        <w:tc>
          <w:tcPr>
            <w:tcW w:type="dxa" w:w="2160"/>
          </w:tcPr>
          <w:p>
            <w:r>
              <w:t>6,436</w:t>
            </w:r>
          </w:p>
        </w:tc>
      </w:tr>
      <w:tr>
        <w:tc>
          <w:tcPr>
            <w:tcW w:type="dxa" w:w="2160"/>
          </w:tcPr>
          <w:p>
            <w:r>
              <w:t>2024-07</w:t>
            </w:r>
          </w:p>
        </w:tc>
        <w:tc>
          <w:tcPr>
            <w:tcW w:type="dxa" w:w="2160"/>
          </w:tcPr>
          <w:p>
            <w:r>
              <w:t>0.70</w:t>
            </w:r>
          </w:p>
        </w:tc>
        <w:tc>
          <w:tcPr>
            <w:tcW w:type="dxa" w:w="2160"/>
          </w:tcPr>
          <w:p>
            <w:r>
              <w:t>0.06</w:t>
            </w:r>
          </w:p>
        </w:tc>
        <w:tc>
          <w:tcPr>
            <w:tcW w:type="dxa" w:w="2160"/>
          </w:tcPr>
          <w:p>
            <w:r>
              <w:t>6,136</w:t>
            </w:r>
          </w:p>
        </w:tc>
      </w:tr>
      <w:tr>
        <w:tc>
          <w:tcPr>
            <w:tcW w:type="dxa" w:w="2160"/>
          </w:tcPr>
          <w:p>
            <w:r>
              <w:t>2024-08</w:t>
            </w:r>
          </w:p>
        </w:tc>
        <w:tc>
          <w:tcPr>
            <w:tcW w:type="dxa" w:w="2160"/>
          </w:tcPr>
          <w:p>
            <w:r>
              <w:t>0.72</w:t>
            </w:r>
          </w:p>
        </w:tc>
        <w:tc>
          <w:tcPr>
            <w:tcW w:type="dxa" w:w="2160"/>
          </w:tcPr>
          <w:p>
            <w:r>
              <w:t>0.20</w:t>
            </w:r>
          </w:p>
        </w:tc>
        <w:tc>
          <w:tcPr>
            <w:tcW w:type="dxa" w:w="2160"/>
          </w:tcPr>
          <w:p>
            <w:r>
              <w:t>361</w:t>
            </w:r>
          </w:p>
        </w:tc>
      </w:tr>
      <w:tr>
        <w:tc>
          <w:tcPr>
            <w:tcW w:type="dxa" w:w="2160"/>
          </w:tcPr>
          <w:p>
            <w:r>
              <w:t>2024-09</w:t>
            </w:r>
          </w:p>
        </w:tc>
        <w:tc>
          <w:tcPr>
            <w:tcW w:type="dxa" w:w="2160"/>
          </w:tcPr>
          <w:p>
            <w:r>
              <w:t>0.74</w:t>
            </w:r>
          </w:p>
        </w:tc>
        <w:tc>
          <w:tcPr>
            <w:tcW w:type="dxa" w:w="2160"/>
          </w:tcPr>
          <w:p>
            <w:r>
              <w:t>0.24</w:t>
            </w:r>
          </w:p>
        </w:tc>
        <w:tc>
          <w:tcPr>
            <w:tcW w:type="dxa" w:w="2160"/>
          </w:tcPr>
          <w:p>
            <w:r>
              <w:t>5,233</w:t>
            </w:r>
          </w:p>
        </w:tc>
      </w:tr>
      <w:tr>
        <w:tc>
          <w:tcPr>
            <w:tcW w:type="dxa" w:w="2160"/>
          </w:tcPr>
          <w:p>
            <w:r>
              <w:t>2024-10</w:t>
            </w:r>
          </w:p>
        </w:tc>
        <w:tc>
          <w:tcPr>
            <w:tcW w:type="dxa" w:w="2160"/>
          </w:tcPr>
          <w:p>
            <w:r>
              <w:t>0.60</w:t>
            </w:r>
          </w:p>
        </w:tc>
        <w:tc>
          <w:tcPr>
            <w:tcW w:type="dxa" w:w="2160"/>
          </w:tcPr>
          <w:p>
            <w:r>
              <w:t>0.25</w:t>
            </w:r>
          </w:p>
        </w:tc>
        <w:tc>
          <w:tcPr>
            <w:tcW w:type="dxa" w:w="2160"/>
          </w:tcPr>
          <w:p>
            <w:r>
              <w:t>6,633</w:t>
            </w:r>
          </w:p>
        </w:tc>
      </w:tr>
      <w:tr>
        <w:tc>
          <w:tcPr>
            <w:tcW w:type="dxa" w:w="2160"/>
          </w:tcPr>
          <w:p>
            <w:r>
              <w:t>2024-11</w:t>
            </w:r>
          </w:p>
        </w:tc>
        <w:tc>
          <w:tcPr>
            <w:tcW w:type="dxa" w:w="2160"/>
          </w:tcPr>
          <w:p>
            <w:r>
              <w:t>0.57</w:t>
            </w:r>
          </w:p>
        </w:tc>
        <w:tc>
          <w:tcPr>
            <w:tcW w:type="dxa" w:w="2160"/>
          </w:tcPr>
          <w:p>
            <w:r>
              <w:t>0.11</w:t>
            </w:r>
          </w:p>
        </w:tc>
        <w:tc>
          <w:tcPr>
            <w:tcW w:type="dxa" w:w="2160"/>
          </w:tcPr>
          <w:p>
            <w:r>
              <w:t>5,422</w:t>
            </w:r>
          </w:p>
        </w:tc>
      </w:tr>
      <w:tr>
        <w:tc>
          <w:tcPr>
            <w:tcW w:type="dxa" w:w="2160"/>
          </w:tcPr>
          <w:p>
            <w:r>
              <w:t>2024-12</w:t>
            </w:r>
          </w:p>
        </w:tc>
        <w:tc>
          <w:tcPr>
            <w:tcW w:type="dxa" w:w="2160"/>
          </w:tcPr>
          <w:p>
            <w:r>
              <w:t>0.52</w:t>
            </w:r>
          </w:p>
        </w:tc>
        <w:tc>
          <w:tcPr>
            <w:tcW w:type="dxa" w:w="2160"/>
          </w:tcPr>
          <w:p>
            <w:r>
              <w:t>0.11</w:t>
            </w:r>
          </w:p>
        </w:tc>
        <w:tc>
          <w:tcPr>
            <w:tcW w:type="dxa" w:w="2160"/>
          </w:tcPr>
          <w:p>
            <w:r>
              <w:t>7,247</w:t>
            </w:r>
          </w:p>
        </w:tc>
      </w:tr>
    </w:tbl>
    <w:p/>
    <w:p>
      <w:r>
        <w:rPr>
          <w:b/>
        </w:rPr>
        <w:t>Switching to the monthly-stratified split (§1.1) — every month contributes its own first-20% training slice, instead of only Jan-Mar — resolves this: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relationship</w:t>
            </w:r>
          </w:p>
        </w:tc>
        <w:tc>
          <w:tcPr>
            <w:tcW w:type="dxa" w:w="2160"/>
          </w:tcPr>
          <w:p>
            <w:r>
              <w:rPr>
                <w:b/>
              </w:rPr>
              <w:t>leaked (original)</w:t>
            </w:r>
          </w:p>
        </w:tc>
        <w:tc>
          <w:tcPr>
            <w:tcW w:type="dxa" w:w="2160"/>
          </w:tcPr>
          <w:p>
            <w:r>
              <w:rPr>
                <w:b/>
              </w:rPr>
              <w:t>single-cutoff split</w:t>
            </w:r>
          </w:p>
        </w:tc>
        <w:tc>
          <w:tcPr>
            <w:tcW w:type="dxa" w:w="2160"/>
          </w:tcPr>
          <w:p>
            <w:r>
              <w:rPr>
                <w:b/>
              </w:rPr>
              <w:t>monthly-stratified split (this run)</w:t>
            </w:r>
          </w:p>
        </w:tc>
      </w:tr>
      <w:tr>
        <w:tc>
          <w:tcPr>
            <w:tcW w:type="dxa" w:w="2160"/>
          </w:tcPr>
          <w:p>
            <w:r>
              <w:t>Total Combustion Air outlier rate</w:t>
            </w:r>
          </w:p>
        </w:tc>
        <w:tc>
          <w:tcPr>
            <w:tcW w:type="dxa" w:w="2160"/>
          </w:tcPr>
          <w:p>
            <w:r>
              <w:t>2.68%</w:t>
            </w:r>
          </w:p>
        </w:tc>
        <w:tc>
          <w:tcPr>
            <w:tcW w:type="dxa" w:w="2160"/>
          </w:tcPr>
          <w:p>
            <w:r>
              <w:t>37.57%</w:t>
            </w:r>
          </w:p>
        </w:tc>
        <w:tc>
          <w:tcPr>
            <w:tcW w:type="dxa" w:w="2160"/>
          </w:tcPr>
          <w:p>
            <w:r>
              <w:t>3.84%</w:t>
            </w:r>
          </w:p>
        </w:tc>
      </w:tr>
      <w:tr>
        <w:tc>
          <w:tcPr>
            <w:tcW w:type="dxa" w:w="2160"/>
          </w:tcPr>
          <w:p>
            <w:r>
              <w:t>SA Balance outlier rate</w:t>
            </w:r>
          </w:p>
        </w:tc>
        <w:tc>
          <w:tcPr>
            <w:tcW w:type="dxa" w:w="2160"/>
          </w:tcPr>
          <w:p>
            <w:r>
              <w:t>4.68%</w:t>
            </w:r>
          </w:p>
        </w:tc>
        <w:tc>
          <w:tcPr>
            <w:tcW w:type="dxa" w:w="2160"/>
          </w:tcPr>
          <w:p>
            <w:r>
              <w:t>13.82%</w:t>
            </w:r>
          </w:p>
        </w:tc>
        <w:tc>
          <w:tcPr>
            <w:tcW w:type="dxa" w:w="2160"/>
          </w:tcPr>
          <w:p>
            <w:r>
              <w:t>3.83%</w:t>
            </w:r>
          </w:p>
        </w:tc>
      </w:tr>
    </w:tbl>
    <w:p/>
    <w:p>
      <w:r>
        <w:t>Both relationships' outlier rates land back close to the original leaked-baseline numbers — expected, since a representative (all-months) training set should recover roughly the same "normal" the leaked baseline saw, minus actual leakage and now with a genuinely held-out test set. The remaining small differences are the STEADY/quality filtering and finite-sample noise doing real work, not a residual seasonal-drift artifact.</w:t>
      </w:r>
    </w:p>
    <w:p>
      <w:r>
        <w:t>By contrast, Water-Steam Balance Deviation stayed within ~5.3-6.0% all year at this load band (see §4's table) under EVERY split tried — confirming that relationship is genuinely stable year-round and was never sensitive to which months trained the baseline.</w:t>
      </w:r>
    </w:p>
    <w:p>
      <w:pPr>
        <w:pStyle w:val="Heading3"/>
      </w:pPr>
      <w:r>
        <w:t>Tertiary Air Balance is a DIFFERENT story: a real event the single-cutoff split had accidentally trained away</w:t>
      </w:r>
    </w:p>
    <w:p>
      <w:r>
        <w:t>TA Balance's outlier rate did NOT settle back near the original leaked baseline like Air/SA did — it rose further, from 3.38% (leaked) and 0.00% (single-cutoff split) to 11.78% here. This isn't a representativeness problem; it's the validator correctly catching a real, sustained event that the single-cutoff split's baseline had absorbed into "normal" by accident. Investigating: Total Tertiary Air dropped sharply for about 18 days while Load stayed in its normal range throughout — a genuine operational event, not noise: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period</w:t>
            </w:r>
          </w:p>
        </w:tc>
        <w:tc>
          <w:tcPr>
            <w:tcW w:type="dxa" w:w="2160"/>
          </w:tcPr>
          <w:p>
            <w:r>
              <w:rPr>
                <w:b/>
              </w:rPr>
              <w:t>n rows</w:t>
            </w:r>
          </w:p>
        </w:tc>
        <w:tc>
          <w:tcPr>
            <w:tcW w:type="dxa" w:w="2160"/>
          </w:tcPr>
          <w:p>
            <w:r>
              <w:rPr>
                <w:b/>
              </w:rPr>
              <w:t>Total Tertiary Air (mean TPH)</w:t>
            </w:r>
          </w:p>
        </w:tc>
        <w:tc>
          <w:tcPr>
            <w:tcW w:type="dxa" w:w="2160"/>
          </w:tcPr>
          <w:p>
            <w:r>
              <w:rPr>
                <w:b/>
              </w:rPr>
              <w:t>Load (mean %)</w:t>
            </w:r>
          </w:p>
        </w:tc>
      </w:tr>
      <w:tr>
        <w:tc>
          <w:tcPr>
            <w:tcW w:type="dxa" w:w="2160"/>
          </w:tcPr>
          <w:p>
            <w:r>
              <w:t>before, Feb 1 – Feb 8 08:00</w:t>
            </w:r>
          </w:p>
        </w:tc>
        <w:tc>
          <w:tcPr>
            <w:tcW w:type="dxa" w:w="2160"/>
          </w:tcPr>
          <w:p>
            <w:r>
              <w:t>2,112</w:t>
            </w:r>
          </w:p>
        </w:tc>
        <w:tc>
          <w:tcPr>
            <w:tcW w:type="dxa" w:w="2160"/>
          </w:tcPr>
          <w:p>
            <w:r>
              <w:t>61.1</w:t>
            </w:r>
          </w:p>
        </w:tc>
        <w:tc>
          <w:tcPr>
            <w:tcW w:type="dxa" w:w="2160"/>
          </w:tcPr>
          <w:p>
            <w:r>
              <w:t>98.1</w:t>
            </w:r>
          </w:p>
        </w:tc>
      </w:tr>
      <w:tr>
        <w:tc>
          <w:tcPr>
            <w:tcW w:type="dxa" w:w="2160"/>
          </w:tcPr>
          <w:p>
            <w:r>
              <w:t>stage 1, Feb 8 12:00 – Feb 12 08:00</w:t>
            </w:r>
          </w:p>
        </w:tc>
        <w:tc>
          <w:tcPr>
            <w:tcW w:type="dxa" w:w="2160"/>
          </w:tcPr>
          <w:p>
            <w:r>
              <w:t>1,099</w:t>
            </w:r>
          </w:p>
        </w:tc>
        <w:tc>
          <w:tcPr>
            <w:tcW w:type="dxa" w:w="2160"/>
          </w:tcPr>
          <w:p>
            <w:r>
              <w:t>11.3</w:t>
            </w:r>
          </w:p>
        </w:tc>
        <w:tc>
          <w:tcPr>
            <w:tcW w:type="dxa" w:w="2160"/>
          </w:tcPr>
          <w:p>
            <w:r>
              <w:t>91.2</w:t>
            </w:r>
          </w:p>
        </w:tc>
      </w:tr>
      <w:tr>
        <w:tc>
          <w:tcPr>
            <w:tcW w:type="dxa" w:w="2160"/>
          </w:tcPr>
          <w:p>
            <w:r>
              <w:t>stage 2, Feb 12 12:00 – Feb 26 12:00</w:t>
            </w:r>
          </w:p>
        </w:tc>
        <w:tc>
          <w:tcPr>
            <w:tcW w:type="dxa" w:w="2160"/>
          </w:tcPr>
          <w:p>
            <w:r>
              <w:t>4,032</w:t>
            </w:r>
          </w:p>
        </w:tc>
        <w:tc>
          <w:tcPr>
            <w:tcW w:type="dxa" w:w="2160"/>
          </w:tcPr>
          <w:p>
            <w:r>
              <w:t>29.3</w:t>
            </w:r>
          </w:p>
        </w:tc>
        <w:tc>
          <w:tcPr>
            <w:tcW w:type="dxa" w:w="2160"/>
          </w:tcPr>
          <w:p>
            <w:r>
              <w:t>101.1</w:t>
            </w:r>
          </w:p>
        </w:tc>
      </w:tr>
      <w:tr>
        <w:tc>
          <w:tcPr>
            <w:tcW w:type="dxa" w:w="2160"/>
          </w:tcPr>
          <w:p>
            <w:r>
              <w:t>after, Feb 26 16:00 – Feb 29</w:t>
            </w:r>
          </w:p>
        </w:tc>
        <w:tc>
          <w:tcPr>
            <w:tcW w:type="dxa" w:w="2160"/>
          </w:tcPr>
          <w:p>
            <w:r>
              <w:t>960</w:t>
            </w:r>
          </w:p>
        </w:tc>
        <w:tc>
          <w:tcPr>
            <w:tcW w:type="dxa" w:w="2160"/>
          </w:tcPr>
          <w:p>
            <w:r>
              <w:t>50.8</w:t>
            </w:r>
          </w:p>
        </w:tc>
        <w:tc>
          <w:tcPr>
            <w:tcW w:type="dxa" w:w="2160"/>
          </w:tcPr>
          <w:p>
            <w:r>
              <w:t>103.4</w:t>
            </w:r>
          </w:p>
        </w:tc>
      </w:tr>
      <w:tr>
        <w:tc>
          <w:tcPr>
            <w:tcW w:type="dxa" w:w="2160"/>
          </w:tcPr>
          <w:p>
            <w:r>
              <w:rPr>
                <w:b/>
              </w:rPr>
              <w:t>full-year average (reference)</w:t>
            </w:r>
          </w:p>
        </w:tc>
        <w:tc>
          <w:tcPr>
            <w:tcW w:type="dxa" w:w="2160"/>
          </w:tcPr>
          <w:p>
            <w:r>
              <w:t>91,767</w:t>
            </w:r>
          </w:p>
        </w:tc>
        <w:tc>
          <w:tcPr>
            <w:tcW w:type="dxa" w:w="2160"/>
          </w:tcPr>
          <w:p>
            <w:r>
              <w:rPr>
                <w:b/>
              </w:rPr>
              <w:t>50.8</w:t>
            </w:r>
          </w:p>
        </w:tc>
        <w:tc>
          <w:tcPr>
            <w:tcW w:type="dxa" w:w="2160"/>
          </w:tcPr>
          <w:p>
            <w:r>
              <w:t>—</w:t>
            </w:r>
          </w:p>
        </w:tc>
      </w:tr>
    </w:tbl>
    <w:p/>
    <w:p>
      <w:r>
        <w:t>Total Tertiary Air fell from a normal ~61 TPH to ~11 TPH (an ~82% drop) for 4 days, partially recovered to ~29 TPH for the next ~14 days, then returned to ~51 TPH — while Load stayed essentially flat (~91-103%) the entire time. The A/B split ALSO genuinely widened during the deepest-drop stage — the A/B ratio moved from a normal ~1.007 to ~1.138 (TA_SIDE_DEV_PCT mean 12.8%, vs. 0.7% normal) in the first 4 days, then partly narrowed back to ~1.021 (2.1%) as total flow partially recovered. So this isn't purely a ratio-denominator artifact of the total dropping — the two air paths genuinely stopped tracking each other as closely during the event, on top of the large total-flow drop. Full event detail in §9.5.</w:t>
      </w:r>
    </w:p>
    <w:p>
      <w:r>
        <w:rPr>
          <w:b/>
        </w:rPr>
        <w:t>Why the splits disagree:</w:t>
      </w:r>
      <w:r>
        <w:t xml:space="preserve"> the single-cutoff training window (2024-01-18 -&gt; 2024-03-27) fully contained this Feb 8-26 event, so that baseline learned the event's depressed TA-balance readings as part of "normal" — widening its band enough to mask the event (and everything resembling it) almost entirely (0.00% outlier). The monthly-stratified split's February training slice is only Feb 1 - Feb 6.8 (first 20% of February), which ends BEFORE the event starts (Feb 8) — so this baseline never learned the event as normal, and correctly flags it in the test window. This is the split method working as intended, not a regression.</w:t>
      </w:r>
    </w:p>
    <w:p>
      <w:pPr>
        <w:pStyle w:val="Heading2"/>
      </w:pPr>
      <w:r>
        <w:t>4. Feedwater Flow vs. Total Steam Flow — Systematic Bias</w:t>
      </w:r>
    </w:p>
    <w:p>
      <w:r>
        <w:rPr>
          <w:b/>
        </w:rPr>
        <w:t>Finding: Feedwater Flow reads 5-7% higher than Total Main Steam Flow at steady state, consistently across every load band, all year. This is not a fault flagged by the validator — it IS the learned normal baseline — but it's a real, persistent, plant-wide offset that a plant engineer should be able to explain.</w:t>
      </w:r>
    </w:p>
    <w:p>
      <w:r>
        <w:t xml:space="preserve">Doc Table 4: </w:t>
      </w:r>
      <w:r>
        <w:rPr>
          <w:rFonts w:ascii="Consolas" w:hAnsi="Consolas"/>
          <w:sz w:val="20"/>
        </w:rPr>
        <w:t>Water-Steam Balance Deviation (%) = (Feedwater Flow - Total Main Steam Flow) / Total Main Steam Flow * 100</w:t>
      </w:r>
      <w:r>
        <w:t xml:space="preserve">. STEADY-state distribution, learned per load bin by </w:t>
      </w:r>
      <w:r>
        <w:rPr>
          <w:rFonts w:ascii="Consolas" w:hAnsi="Consolas"/>
          <w:sz w:val="20"/>
        </w:rPr>
        <w:t>cluster_baseline.py</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load band (% MCR)</w:t>
            </w:r>
          </w:p>
        </w:tc>
        <w:tc>
          <w:tcPr>
            <w:tcW w:type="dxa" w:w="2160"/>
          </w:tcPr>
          <w:p>
            <w:r>
              <w:rPr>
                <w:b/>
              </w:rPr>
              <w:t>n (STEADY rows)</w:t>
            </w:r>
          </w:p>
        </w:tc>
        <w:tc>
          <w:tcPr>
            <w:tcW w:type="dxa" w:w="2160"/>
          </w:tcPr>
          <w:p>
            <w:r>
              <w:rPr>
                <w:b/>
              </w:rPr>
              <w:t>mean deviation</w:t>
            </w:r>
          </w:p>
        </w:tc>
        <w:tc>
          <w:tcPr>
            <w:tcW w:type="dxa" w:w="2160"/>
          </w:tcPr>
          <w:p>
            <w:r>
              <w:rPr>
                <w:b/>
              </w:rPr>
              <w:t>std dev</w:t>
            </w:r>
          </w:p>
        </w:tc>
      </w:tr>
      <w:tr>
        <w:tc>
          <w:tcPr>
            <w:tcW w:type="dxa" w:w="2160"/>
          </w:tcPr>
          <w:p>
            <w:r>
              <w:t>[80, 90)</w:t>
            </w:r>
          </w:p>
        </w:tc>
        <w:tc>
          <w:tcPr>
            <w:tcW w:type="dxa" w:w="2160"/>
          </w:tcPr>
          <w:p>
            <w:r>
              <w:t>345</w:t>
            </w:r>
          </w:p>
        </w:tc>
        <w:tc>
          <w:tcPr>
            <w:tcW w:type="dxa" w:w="2160"/>
          </w:tcPr>
          <w:p>
            <w:r>
              <w:t>+6.84%</w:t>
            </w:r>
          </w:p>
        </w:tc>
        <w:tc>
          <w:tcPr>
            <w:tcW w:type="dxa" w:w="2160"/>
          </w:tcPr>
          <w:p>
            <w:r>
              <w:t>3.21%</w:t>
            </w:r>
          </w:p>
        </w:tc>
      </w:tr>
      <w:tr>
        <w:tc>
          <w:tcPr>
            <w:tcW w:type="dxa" w:w="2160"/>
          </w:tcPr>
          <w:p>
            <w:r>
              <w:t>[90, 100)</w:t>
            </w:r>
          </w:p>
        </w:tc>
        <w:tc>
          <w:tcPr>
            <w:tcW w:type="dxa" w:w="2160"/>
          </w:tcPr>
          <w:p>
            <w:r>
              <w:t>5,910</w:t>
            </w:r>
          </w:p>
        </w:tc>
        <w:tc>
          <w:tcPr>
            <w:tcW w:type="dxa" w:w="2160"/>
          </w:tcPr>
          <w:p>
            <w:r>
              <w:t>+5.99%</w:t>
            </w:r>
          </w:p>
        </w:tc>
        <w:tc>
          <w:tcPr>
            <w:tcW w:type="dxa" w:w="2160"/>
          </w:tcPr>
          <w:p>
            <w:r>
              <w:t>1.88%</w:t>
            </w:r>
          </w:p>
        </w:tc>
      </w:tr>
      <w:tr>
        <w:tc>
          <w:tcPr>
            <w:tcW w:type="dxa" w:w="2160"/>
          </w:tcPr>
          <w:p>
            <w:r>
              <w:t>[100, 110)</w:t>
            </w:r>
          </w:p>
        </w:tc>
        <w:tc>
          <w:tcPr>
            <w:tcW w:type="dxa" w:w="2160"/>
          </w:tcPr>
          <w:p>
            <w:r>
              <w:t>12,023</w:t>
            </w:r>
          </w:p>
        </w:tc>
        <w:tc>
          <w:tcPr>
            <w:tcW w:type="dxa" w:w="2160"/>
          </w:tcPr>
          <w:p>
            <w:r>
              <w:t>+5.48%</w:t>
            </w:r>
          </w:p>
        </w:tc>
        <w:tc>
          <w:tcPr>
            <w:tcW w:type="dxa" w:w="2160"/>
          </w:tcPr>
          <w:p>
            <w:r>
              <w:t>1.74%</w:t>
            </w:r>
          </w:p>
        </w:tc>
      </w:tr>
      <w:tr>
        <w:tc>
          <w:tcPr>
            <w:tcW w:type="dxa" w:w="2160"/>
          </w:tcPr>
          <w:p>
            <w:r>
              <w:t>[110, 120) *</w:t>
            </w:r>
          </w:p>
        </w:tc>
        <w:tc>
          <w:tcPr>
            <w:tcW w:type="dxa" w:w="2160"/>
          </w:tcPr>
          <w:p>
            <w:r>
              <w:t>1</w:t>
            </w:r>
          </w:p>
        </w:tc>
        <w:tc>
          <w:tcPr>
            <w:tcW w:type="dxa" w:w="2160"/>
          </w:tcPr>
          <w:p>
            <w:r>
              <w:t>+0.94%</w:t>
            </w:r>
          </w:p>
        </w:tc>
        <w:tc>
          <w:tcPr>
            <w:tcW w:type="dxa" w:w="2160"/>
          </w:tcPr>
          <w:p>
            <w:r>
              <w:t>0.00%</w:t>
            </w:r>
          </w:p>
        </w:tc>
      </w:tr>
      <w:tr>
        <w:tc>
          <w:tcPr>
            <w:tcW w:type="dxa" w:w="2160"/>
          </w:tcPr>
          <w:p>
            <w:r>
              <w:rPr>
                <w:b/>
              </w:rPr>
              <w:t>all STEADY rows</w:t>
            </w:r>
          </w:p>
        </w:tc>
        <w:tc>
          <w:tcPr>
            <w:tcW w:type="dxa" w:w="2160"/>
          </w:tcPr>
          <w:p>
            <w:r>
              <w:rPr>
                <w:b/>
              </w:rPr>
              <w:t>18,279</w:t>
            </w:r>
          </w:p>
        </w:tc>
        <w:tc>
          <w:tcPr>
            <w:tcW w:type="dxa" w:w="2160"/>
          </w:tcPr>
          <w:p>
            <w:r>
              <w:rPr>
                <w:b/>
              </w:rPr>
              <w:t>+5.67%</w:t>
            </w:r>
          </w:p>
        </w:tc>
        <w:tc>
          <w:tcPr>
            <w:tcW w:type="dxa" w:w="2160"/>
          </w:tcPr>
          <w:p>
            <w:r>
              <w:rPr>
                <w:b/>
              </w:rPr>
              <w:t>1.85%</w:t>
            </w:r>
          </w:p>
        </w:tc>
      </w:tr>
    </w:tbl>
    <w:p/>
    <w:p>
      <w:r>
        <w:t xml:space="preserve">* [110,120) (n=1) — below </w:t>
      </w:r>
      <w:r>
        <w:rPr>
          <w:rFonts w:ascii="Consolas" w:hAnsi="Consolas"/>
          <w:sz w:val="20"/>
        </w:rPr>
        <w:t>min_samples</w:t>
      </w:r>
      <w:r>
        <w:t xml:space="preserve"> (20), too thin to trust on its own. </w:t>
      </w:r>
      <w:r>
        <w:rPr>
          <w:rFonts w:ascii="Consolas" w:hAnsi="Consolas"/>
          <w:sz w:val="20"/>
        </w:rPr>
        <w:t>stats_for()</w:t>
      </w:r>
      <w:r>
        <w:t xml:space="preserve"> automatically falls back to the "all STEADY rows" global stats for any row landing in this bin (see </w:t>
      </w:r>
      <w:r>
        <w:rPr>
          <w:rFonts w:ascii="Consolas" w:hAnsi="Consolas"/>
          <w:sz w:val="20"/>
        </w:rPr>
        <w:t>engine/baseline.py</w:t>
      </w:r>
      <w:r>
        <w:t>/</w:t>
      </w:r>
      <w:r>
        <w:rPr>
          <w:rFonts w:ascii="Consolas" w:hAnsi="Consolas"/>
          <w:sz w:val="20"/>
        </w:rPr>
        <w:t>clusters/cluster_baseline.py</w:t>
      </w:r>
      <w:r>
        <w:t>'s sparse-bin-fallback rule) — the table shows the raw bin statistic for transparency, but it is NOT what's actually used to score a row at this load. This plant runs at 110-120% MCR rarely enough that the monthly-stratified training slice catches only a handful of samples there; revisit once more high-load historian data is available.</w:t>
      </w:r>
    </w:p>
    <w:p>
      <w:r>
        <w:t>Across all 73,427 TEST WINDOW rows with valid data (unseen data, not used to train the baseline above): 5th pct +2.94%, 25th +4.68%, median +5.54%, 75th +6.43%, 95th +8.29%. The offset holds across the whole distribution, not just the mean, AND holds on data the baseline never saw — this isn't a few outlier rows pulling an average, and it isn't an artifact of training on the same data being described.</w:t>
      </w:r>
    </w:p>
    <w:p>
      <w:r>
        <w:rPr>
          <w:b/>
        </w:rPr>
        <w:t>Why this matters:</w:t>
      </w:r>
      <w:r>
        <w:t xml:space="preserve"> the bias is one-directional (feedwater always reads higher, never lower, at every load) and its magnitude </w:t>
      </w:r>
      <w:r>
        <w:rPr>
          <w:i/>
        </w:rPr>
        <w:t>shrinks</w:t>
      </w:r>
      <w:r>
        <w:t xml:space="preserve"> as load rises (6.5% at 80-90% MCR down to 3.3% at 110-120% MCR) — a random instrument noise problem wouldn't behave this consistently. Plausible explanations, in order of what the available data can and can't confirm:</w:t>
      </w:r>
    </w:p>
    <w:p>
      <w:pPr>
        <w:pStyle w:val="ListBullet"/>
      </w:pPr>
      <w:r>
        <w:rPr>
          <w:b/>
        </w:rPr>
        <w:t>Missing spray-water term</w:t>
      </w:r>
      <w:r>
        <w:t xml:space="preserve"> — doc Table 3's formula is </w:t>
      </w:r>
      <w:r>
        <w:rPr>
          <w:rFonts w:ascii="Consolas" w:hAnsi="Consolas"/>
          <w:sz w:val="20"/>
        </w:rPr>
        <w:t>Total Main Steam Flow = Feedwater Flow + Steam Flow Error</w:t>
      </w:r>
      <w:r>
        <w:t xml:space="preserve">, where the error term is </w:t>
      </w:r>
      <w:r>
        <w:rPr>
          <w:rFonts w:ascii="Consolas" w:hAnsi="Consolas"/>
          <w:sz w:val="20"/>
        </w:rPr>
        <w:t>f(Feedwater Flow, Spray Flow)</w:t>
      </w:r>
      <w:r>
        <w:t xml:space="preserve">. This dataset has no usable Spray Flow tag (see §9), so the balance here omits it entirely — but spray water </w:t>
      </w:r>
      <w:r>
        <w:rPr>
          <w:i/>
        </w:rPr>
        <w:t>adds</w:t>
      </w:r>
      <w:r>
        <w:t xml:space="preserve"> mass into the steam side, which would push Total Steam higher (i.e. shrink this gap or flip its sign), not explain why Feedwater is consistently the </w:t>
      </w:r>
      <w:r>
        <w:rPr>
          <w:i/>
        </w:rPr>
        <w:t>larger</w:t>
      </w:r>
      <w:r>
        <w:t xml:space="preserve"> number. This alone likely does not explain the direction of the offset.</w:t>
      </w:r>
    </w:p>
    <w:p>
      <w:pPr>
        <w:pStyle w:val="ListBullet"/>
      </w:pPr>
      <w:r>
        <w:rPr>
          <w:b/>
        </w:rPr>
        <w:t>Blowdown</w:t>
      </w:r>
      <w:r>
        <w:t xml:space="preserve"> (continuous or intermittent drum blowdown draws water out of the loop after the feedwater meter but before it becomes measured steam) — consistent with the observed direction and would explain a load-independent-ish base draw that's a shrinking </w:t>
      </w:r>
      <w:r>
        <w:rPr>
          <w:i/>
        </w:rPr>
        <w:t>percentage</w:t>
      </w:r>
      <w:r>
        <w:t xml:space="preserve"> of a rising steam flow, matching the load-band trend above.</w:t>
      </w:r>
    </w:p>
    <w:p>
      <w:pPr>
        <w:pStyle w:val="ListBullet"/>
      </w:pPr>
      <w:r>
        <w:rPr>
          <w:b/>
        </w:rPr>
        <w:t>Meter calibration offset</w:t>
      </w:r>
      <w:r>
        <w:t xml:space="preserve"> on one or both flow elements — cannot be distinguished from blowdown using this data alone.</w:t>
      </w:r>
    </w:p>
    <w:p>
      <w:r>
        <w:t xml:space="preserve">None of these can be confirmed from the historian data alone. </w:t>
      </w:r>
      <w:r>
        <w:rPr>
          <w:b/>
        </w:rPr>
        <w:t>Recommend the plant engineer confirm actual blowdown practice and the last calibration date for the feedwater and steam flow elements before this offset is accepted as "normal."</w:t>
      </w:r>
    </w:p>
    <w:p>
      <w:pPr>
        <w:pStyle w:val="Heading2"/>
      </w:pPr>
      <w:r>
        <w:t>5. Steam Flow A/B Tiebreaker — worked examples</w:t>
      </w:r>
    </w:p>
    <w:p>
      <w:r>
        <w:t xml:space="preserve">Doc: </w:t>
      </w:r>
      <w:r>
        <w:rPr>
          <w:i/>
        </w:rPr>
        <w:t>"In case of Eq 1 Correlate both readings acceptable variation 3% ... In case two readings differ Correlate with Feed Flow."</w:t>
      </w:r>
      <w:r>
        <w:t xml:space="preserve"> When A and B disagree beyond 3%, each candidate is plugged in as Total Steam Flow and compared against the learned water-steam-balance band; whichever lands closer is trusted. If neither is clearly closer, the relationship is marked </w:t>
      </w:r>
      <w:r>
        <w:rPr>
          <w:rFonts w:ascii="Consolas" w:hAnsi="Consolas"/>
          <w:sz w:val="20"/>
        </w:rPr>
        <w:t>ambiguous</w:t>
      </w:r>
      <w:r>
        <w:t xml:space="preserve"> rather than guessed.</w:t>
      </w:r>
    </w:p>
    <w:p>
      <w:r>
        <w:rPr>
          <w:b/>
        </w:rPr>
        <w:t>What downstream code uses as Total Steam Flow when the tiebreak is ambiguous:</w:t>
      </w:r>
      <w:r>
        <w:t xml:space="preserve"> the plain </w:t>
      </w:r>
      <w:r>
        <w:rPr>
          <w:rFonts w:ascii="Consolas" w:hAnsi="Consolas"/>
          <w:sz w:val="20"/>
        </w:rPr>
        <w:t>(Steam Flow-A + Steam Flow-B) / 2</w:t>
      </w:r>
      <w:r>
        <w:t xml:space="preserve"> average — the SAME value used when A and B already agree, not a guess at which side is right. Marking a row </w:t>
      </w:r>
      <w:r>
        <w:rPr>
          <w:rFonts w:ascii="Consolas" w:hAnsi="Consolas"/>
          <w:sz w:val="20"/>
        </w:rPr>
        <w:t>ambiguous</w:t>
      </w:r>
      <w:r>
        <w:t xml:space="preserve"> means "no basis to prefer one side," so §6's water-steam-balance check downstream doesn't invent a preference either; it uses the same combination it would use for a consistent row. That row's own status in §6 still reflects whatever residual this average produces — the ambiguity isn't hidden from a reader inspecting the row, just not resolved into a single "correct" side. See </w:t>
      </w:r>
      <w:r>
        <w:rPr>
          <w:rFonts w:ascii="Consolas" w:hAnsi="Consolas"/>
          <w:sz w:val="20"/>
        </w:rPr>
        <w:t>clusters/cluster_validator.py</w:t>
      </w:r>
      <w:r>
        <w:t xml:space="preserve">'s </w:t>
      </w:r>
      <w:r>
        <w:rPr>
          <w:rFonts w:ascii="Consolas" w:hAnsi="Consolas"/>
          <w:sz w:val="20"/>
        </w:rPr>
        <w:t>validate_row()</w:t>
      </w:r>
      <w:r>
        <w:t>.</w:t>
      </w:r>
    </w:p>
    <w:p>
      <w:r>
        <w:t xml:space="preserve">Note: under the monthly-stratified split (§1), which of the dataset's four known A/B-disagreement rows land in train vs. test depends on where each falls within ITS OWN month's first-20% slice — this shifts from run to run as the split method changes, not evidence of more or fewer real faults existing. This run: the two 2024-02-11 events fall in February's test portion (scored below); the 2024-10-04 11:35 outlier and 11:40 ambiguous case both fall inside October's training slice (excluded from training via </w:t>
      </w:r>
      <w:r>
        <w:rPr>
          <w:rFonts w:ascii="Consolas" w:hAnsi="Consolas"/>
          <w:sz w:val="20"/>
        </w:rPr>
        <w:t>KNOWN_BAD_TIMESTAMPS</w:t>
      </w:r>
      <w:r>
        <w:t xml:space="preserve"> and the STEADY filter respectively, not scored here).</w:t>
      </w:r>
    </w:p>
    <w:p>
      <w:pPr>
        <w:pStyle w:val="Heading3"/>
      </w:pPr>
      <w:r>
        <w:t>Outliers resolved: 2 rows</w:t>
      </w:r>
    </w:p>
    <w:p>
      <w:r>
        <w:t>Genuine sensor-fault events, not noise: the losing side's implied deviation from Feedwater Flow is in the hundreds of percent, meaning that meter briefly reported a value far below its true flow (i.e. it was the wrong one, not a marginal call).</w:t>
      </w:r>
    </w:p>
    <w:p>
      <w:pPr>
        <w:pStyle w:val="ListBullet"/>
      </w:pPr>
      <w:r>
        <w:rPr>
          <w:b/>
        </w:rPr>
        <w:t>2024-02-11 13:30:00</w:t>
      </w:r>
      <w:r>
        <w:t xml:space="preserve"> — A/B disagreement 11.4%. Steam-A implied +850.2% vs. Feedwater, Steam-B implied +965.6% vs. Feedwater (normal band: 5.7% ± 1.8%). </w:t>
      </w:r>
      <w:r>
        <w:rPr>
          <w:b/>
        </w:rPr>
        <w:t>Trusted: Steam Flow-A, flagged: Steam Flow-B.</w:t>
      </w:r>
    </w:p>
    <w:p>
      <w:pPr>
        <w:pStyle w:val="ListBullet"/>
      </w:pPr>
      <w:r>
        <w:rPr>
          <w:b/>
        </w:rPr>
        <w:t>2024-02-11 14:00:00</w:t>
      </w:r>
      <w:r>
        <w:t xml:space="preserve"> — A/B disagreement 17.5%. Steam-A implied +537.4% vs. Feedwater, Steam-B implied +659.9% vs. Feedwater (normal band: 5.7% ± 1.8%). </w:t>
      </w:r>
      <w:r>
        <w:rPr>
          <w:b/>
        </w:rPr>
        <w:t>Trusted: Steam Flow-A, flagged: Steam Flow-B.</w:t>
      </w:r>
    </w:p>
    <w:p>
      <w:pPr>
        <w:pStyle w:val="Heading3"/>
      </w:pPr>
      <w:r>
        <w:t>Ambiguous cases (tiebreak declined to guess): 0 rows</w:t>
      </w:r>
    </w:p>
    <w:p>
      <w:r>
        <w:t>None in this test window — the dataset's one A/B-ambiguous event (2024-10-04 11:40, 3.6% disagreement, both sides similarly far from the normal band) falls inside October's training slice under the monthly-stratified split, so it isn't scored here. See §6 for a water-steam-balance ambiguous example instead, which demonstrates the same "decline to guess" behavior for the other tiebreak.</w:t>
      </w:r>
    </w:p>
    <w:p>
      <w:pPr>
        <w:pStyle w:val="Heading2"/>
      </w:pPr>
      <w:r>
        <w:t>6. Water-Steam Balance Tiebreak (vs. Load) — worked examples</w:t>
      </w:r>
    </w:p>
    <w:p>
      <w:r>
        <w:t xml:space="preserve">Doc para 21: </w:t>
      </w:r>
      <w:r>
        <w:rPr>
          <w:i/>
        </w:rPr>
        <w:t>"In case Steam Flow and Feed Flow are not matching both values should be correlated with Load. The value matching with load should be considered and other will be corrected."</w:t>
      </w:r>
      <w:r>
        <w:t xml:space="preserve"> When the resolved balance falls outside its learned band, both Total Steam Flow and Feedwater Flow are compared against what Load's own baseline predicts for each; whichever is closer is trusted.</w:t>
      </w:r>
    </w:p>
    <w:p>
      <w:pPr>
        <w:pStyle w:val="Heading3"/>
      </w:pPr>
      <w:r>
        <w:t>Outliers resolved: 4 rows</w:t>
      </w:r>
    </w:p>
    <w:p>
      <w:pPr>
        <w:pStyle w:val="ListBullet"/>
      </w:pPr>
      <w:r>
        <w:rPr>
          <w:b/>
        </w:rPr>
        <w:t>2024-02-11 13:30:00</w:t>
      </w:r>
      <w:r>
        <w:t xml:space="preserve"> — balance deviation +850.2% (band 5.7% ± 1.8%). Steam Flow is 94.9% off Load's expectation; Feedwater Flow is 53.9% off. </w:t>
      </w:r>
      <w:r>
        <w:rPr>
          <w:b/>
        </w:rPr>
        <w:t>Trusted: feedwater_flow, flagged for correction: steam_flow.</w:t>
      </w:r>
    </w:p>
    <w:p>
      <w:pPr>
        <w:pStyle w:val="ListBullet"/>
      </w:pPr>
      <w:r>
        <w:rPr>
          <w:b/>
        </w:rPr>
        <w:t>2024-02-11 14:00:00</w:t>
      </w:r>
      <w:r>
        <w:t xml:space="preserve"> — balance deviation +537.4% (band 5.7% ± 1.8%). Steam Flow is 91.0% off Load's expectation; Feedwater Flow is 45.9% off. </w:t>
      </w:r>
      <w:r>
        <w:rPr>
          <w:b/>
        </w:rPr>
        <w:t>Trusted: feedwater_flow, flagged for correction: steam_flow.</w:t>
      </w:r>
    </w:p>
    <w:p>
      <w:pPr>
        <w:pStyle w:val="ListBullet"/>
      </w:pPr>
      <w:r>
        <w:rPr>
          <w:b/>
        </w:rPr>
        <w:t>2024-08-27 05:20:00</w:t>
      </w:r>
      <w:r>
        <w:t xml:space="preserve"> — balance deviation +29.7% (band 6.8% ± 3.2%). Steam Flow is 0.9% off Load's expectation; Feedwater Flow is 22.6% off. </w:t>
      </w:r>
      <w:r>
        <w:rPr>
          <w:b/>
        </w:rPr>
        <w:t>Trusted: steam_flow, flagged for correction: feedwater_flow.</w:t>
      </w:r>
    </w:p>
    <w:p>
      <w:pPr>
        <w:pStyle w:val="ListBullet"/>
      </w:pPr>
      <w:r>
        <w:rPr>
          <w:b/>
        </w:rPr>
        <w:t>2024-08-27 05:30:00</w:t>
      </w:r>
      <w:r>
        <w:t xml:space="preserve"> — balance deviation -12.7% (band 6.0% ± 1.9%). Steam Flow is 6.3% off Load's expectation; Feedwater Flow is 22.8% off. </w:t>
      </w:r>
      <w:r>
        <w:rPr>
          <w:b/>
        </w:rPr>
        <w:t>Trusted: steam_flow, flagged for correction: feedwater_flow.</w:t>
      </w:r>
    </w:p>
    <w:p>
      <w:pPr>
        <w:pStyle w:val="Heading3"/>
      </w:pPr>
      <w:r>
        <w:t>Ambiguous cases: 3681 rows (5.01% of all rows)</w:t>
      </w:r>
    </w:p>
    <w:p>
      <w:r>
        <w:t>Example with the two candidates' deviation-from-load close together (~5 percentage points apart) — a real but modest, everyday imbalance where neither Steam Flow nor Feedwater Flow stands out as clearly wrong relative to Load, so the tiebreak correctly declines to blame one over the other:</w:t>
      </w:r>
    </w:p>
    <w:p>
      <w:pPr>
        <w:pStyle w:val="ListBullet"/>
      </w:pPr>
      <w:r>
        <w:rPr>
          <w:b/>
        </w:rPr>
        <w:t>2024-09-27 03:50:00</w:t>
      </w:r>
      <w:r>
        <w:t xml:space="preserve"> — balance deviation +14.2% (band 5.5% ± 1.7%). Steam Flow is 1.6% off Load's expectation; Feedwater Flow is 6.6% off — a 5.0 percentage-point spread, under the 15pp ambiguity margin. </w:t>
      </w:r>
      <w:r>
        <w:rPr>
          <w:b/>
        </w:rPr>
        <w:t>Left ambiguous</w:t>
      </w:r>
      <w:r>
        <w:t xml:space="preserve"> rather than arbitrarily trusting the marginally-closer one.</w:t>
      </w:r>
    </w:p>
    <w:p>
      <w:pPr>
        <w:pStyle w:val="Heading2"/>
      </w:pPr>
      <w:r>
        <w:t>7. Total Combustion Air vs. Load Envelope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w:t>
            </w:r>
          </w:p>
        </w:tc>
        <w:tc>
          <w:tcPr>
            <w:tcW w:type="dxa" w:w="2880"/>
          </w:tcPr>
          <w:p>
            <w:r>
              <w:rPr>
                <w:b/>
              </w:rPr>
              <w:t>rows</w:t>
            </w:r>
          </w:p>
        </w:tc>
        <w:tc>
          <w:tcPr>
            <w:tcW w:type="dxa" w:w="2880"/>
          </w:tcPr>
          <w:p>
            <w:r>
              <w:rPr>
                <w:b/>
              </w:rPr>
              <w:t>%</w:t>
            </w:r>
          </w:p>
        </w:tc>
      </w:tr>
      <w:tr>
        <w:tc>
          <w:tcPr>
            <w:tcW w:type="dxa" w:w="2880"/>
          </w:tcPr>
          <w:p>
            <w:r>
              <w:t>consistent</w:t>
            </w:r>
          </w:p>
        </w:tc>
        <w:tc>
          <w:tcPr>
            <w:tcW w:type="dxa" w:w="2880"/>
          </w:tcPr>
          <w:p>
            <w:r>
              <w:t>59,024</w:t>
            </w:r>
          </w:p>
        </w:tc>
        <w:tc>
          <w:tcPr>
            <w:tcW w:type="dxa" w:w="2880"/>
          </w:tcPr>
          <w:p>
            <w:r>
              <w:t>80.38%</w:t>
            </w:r>
          </w:p>
        </w:tc>
      </w:tr>
      <w:tr>
        <w:tc>
          <w:tcPr>
            <w:tcW w:type="dxa" w:w="2880"/>
          </w:tcPr>
          <w:p>
            <w:r>
              <w:t>outlier</w:t>
            </w:r>
          </w:p>
        </w:tc>
        <w:tc>
          <w:tcPr>
            <w:tcW w:type="dxa" w:w="2880"/>
          </w:tcPr>
          <w:p>
            <w:r>
              <w:t>2,818</w:t>
            </w:r>
          </w:p>
        </w:tc>
        <w:tc>
          <w:tcPr>
            <w:tcW w:type="dxa" w:w="2880"/>
          </w:tcPr>
          <w:p>
            <w:r>
              <w:t>3.84%</w:t>
            </w:r>
          </w:p>
        </w:tc>
      </w:tr>
      <w:tr>
        <w:tc>
          <w:tcPr>
            <w:tcW w:type="dxa" w:w="2880"/>
          </w:tcPr>
          <w:p>
            <w:r>
              <w:t>unknown</w:t>
            </w:r>
          </w:p>
        </w:tc>
        <w:tc>
          <w:tcPr>
            <w:tcW w:type="dxa" w:w="2880"/>
          </w:tcPr>
          <w:p>
            <w:r>
              <w:t>11,585</w:t>
            </w:r>
          </w:p>
        </w:tc>
        <w:tc>
          <w:tcPr>
            <w:tcW w:type="dxa" w:w="2880"/>
          </w:tcPr>
          <w:p>
            <w:r>
              <w:t>15.78%</w:t>
            </w:r>
          </w:p>
        </w:tc>
      </w:tr>
    </w:tbl>
    <w:p/>
    <w:p>
      <w:r>
        <w:rPr>
          <w:b/>
        </w:rPr>
        <w:t>`unknown` rows are fully explained by upstream sensor gaps, not a new issue.</w:t>
      </w:r>
      <w:r>
        <w:t xml:space="preserve"> </w:t>
      </w:r>
      <w:r>
        <w:rPr>
          <w:rFonts w:ascii="Consolas" w:hAnsi="Consolas"/>
          <w:sz w:val="20"/>
        </w:rPr>
        <w:t>Total Combustion Air = Total PA + Total SA + Total TA</w:t>
      </w:r>
      <w:r>
        <w:t xml:space="preserve"> is NaN in exactly 11,585 rows, which matches the union of PA/SA/TA component NaNs (11,585 rows) exactly. Breakdown: PA NaN alone contributes 0, SA (total) NaN alone 11,585, TA (total) NaN alone 0, with 0 rows where SA and TA are both NaN simultaneously. See §9 for the underlying SA/TA sensor gap periods.</w:t>
      </w:r>
    </w:p>
    <w:p>
      <w:pPr>
        <w:pStyle w:val="Heading2"/>
      </w:pPr>
      <w:r>
        <w:t>8. Secondary/Tertiary Air A/B Side Balance</w:t>
      </w:r>
    </w:p>
    <w:p>
      <w:r>
        <w:t xml:space="preserve">Doc: </w:t>
      </w:r>
      <w:r>
        <w:rPr>
          <w:i/>
        </w:rPr>
        <w:t>"A perfectly equal split should not be assumed ... Trend movement is often more informative than the absolute difference."</w:t>
      </w:r>
      <w:r>
        <w:t xml:space="preserve"> No numeric tolerance or tiebreak is specified for air-side balance in the doc, so this uses the STEADY-state learned band (mean ± 2 std, per load bin) rather than a flat guessed percentage — a ~4-5% outlier rate is the expected base rate for a roughly-normal distribution at a 2-sigma band, not necessarily abnormal plant behavior. No reconciliation is attempted (none is specified) — these are flagged for the trend-based follow-up the doc describes, not resolved here.</w:t>
      </w:r>
    </w:p>
    <w:p>
      <w:pPr>
        <w:pStyle w:val="Heading3"/>
      </w:pPr>
      <w:r>
        <w:t>Secondary Air (SA-A vs. SA-B)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w:t>
            </w:r>
          </w:p>
        </w:tc>
        <w:tc>
          <w:tcPr>
            <w:tcW w:type="dxa" w:w="2880"/>
          </w:tcPr>
          <w:p>
            <w:r>
              <w:rPr>
                <w:b/>
              </w:rPr>
              <w:t>rows</w:t>
            </w:r>
          </w:p>
        </w:tc>
        <w:tc>
          <w:tcPr>
            <w:tcW w:type="dxa" w:w="2880"/>
          </w:tcPr>
          <w:p>
            <w:r>
              <w:rPr>
                <w:b/>
              </w:rPr>
              <w:t>%</w:t>
            </w:r>
          </w:p>
        </w:tc>
      </w:tr>
      <w:tr>
        <w:tc>
          <w:tcPr>
            <w:tcW w:type="dxa" w:w="2880"/>
          </w:tcPr>
          <w:p>
            <w:r>
              <w:t>consistent</w:t>
            </w:r>
          </w:p>
        </w:tc>
        <w:tc>
          <w:tcPr>
            <w:tcW w:type="dxa" w:w="2880"/>
          </w:tcPr>
          <w:p>
            <w:r>
              <w:t>59,030</w:t>
            </w:r>
          </w:p>
        </w:tc>
        <w:tc>
          <w:tcPr>
            <w:tcW w:type="dxa" w:w="2880"/>
          </w:tcPr>
          <w:p>
            <w:r>
              <w:t>80.39%</w:t>
            </w:r>
          </w:p>
        </w:tc>
      </w:tr>
      <w:tr>
        <w:tc>
          <w:tcPr>
            <w:tcW w:type="dxa" w:w="2880"/>
          </w:tcPr>
          <w:p>
            <w:r>
              <w:t>outlier</w:t>
            </w:r>
          </w:p>
        </w:tc>
        <w:tc>
          <w:tcPr>
            <w:tcW w:type="dxa" w:w="2880"/>
          </w:tcPr>
          <w:p>
            <w:r>
              <w:t>2,812</w:t>
            </w:r>
          </w:p>
        </w:tc>
        <w:tc>
          <w:tcPr>
            <w:tcW w:type="dxa" w:w="2880"/>
          </w:tcPr>
          <w:p>
            <w:r>
              <w:t>3.83%</w:t>
            </w:r>
          </w:p>
        </w:tc>
      </w:tr>
      <w:tr>
        <w:tc>
          <w:tcPr>
            <w:tcW w:type="dxa" w:w="2880"/>
          </w:tcPr>
          <w:p>
            <w:r>
              <w:t>unknown</w:t>
            </w:r>
          </w:p>
        </w:tc>
        <w:tc>
          <w:tcPr>
            <w:tcW w:type="dxa" w:w="2880"/>
          </w:tcPr>
          <w:p>
            <w:r>
              <w:t>11,585</w:t>
            </w:r>
          </w:p>
        </w:tc>
        <w:tc>
          <w:tcPr>
            <w:tcW w:type="dxa" w:w="2880"/>
          </w:tcPr>
          <w:p>
            <w:r>
              <w:t>15.78%</w:t>
            </w:r>
          </w:p>
        </w:tc>
      </w:tr>
    </w:tbl>
    <w:p/>
    <w:p>
      <w:pPr>
        <w:pStyle w:val="Heading3"/>
      </w:pPr>
      <w:r>
        <w:t>Tertiary Air (TA-A vs. TA-B)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w:t>
            </w:r>
          </w:p>
        </w:tc>
        <w:tc>
          <w:tcPr>
            <w:tcW w:type="dxa" w:w="2880"/>
          </w:tcPr>
          <w:p>
            <w:r>
              <w:rPr>
                <w:b/>
              </w:rPr>
              <w:t>rows</w:t>
            </w:r>
          </w:p>
        </w:tc>
        <w:tc>
          <w:tcPr>
            <w:tcW w:type="dxa" w:w="2880"/>
          </w:tcPr>
          <w:p>
            <w:r>
              <w:rPr>
                <w:b/>
              </w:rPr>
              <w:t>%</w:t>
            </w:r>
          </w:p>
        </w:tc>
      </w:tr>
      <w:tr>
        <w:tc>
          <w:tcPr>
            <w:tcW w:type="dxa" w:w="2880"/>
          </w:tcPr>
          <w:p>
            <w:r>
              <w:t>consistent</w:t>
            </w:r>
          </w:p>
        </w:tc>
        <w:tc>
          <w:tcPr>
            <w:tcW w:type="dxa" w:w="2880"/>
          </w:tcPr>
          <w:p>
            <w:r>
              <w:t>64,777</w:t>
            </w:r>
          </w:p>
        </w:tc>
        <w:tc>
          <w:tcPr>
            <w:tcW w:type="dxa" w:w="2880"/>
          </w:tcPr>
          <w:p>
            <w:r>
              <w:t>88.22%</w:t>
            </w:r>
          </w:p>
        </w:tc>
      </w:tr>
      <w:tr>
        <w:tc>
          <w:tcPr>
            <w:tcW w:type="dxa" w:w="2880"/>
          </w:tcPr>
          <w:p>
            <w:r>
              <w:t>outlier</w:t>
            </w:r>
          </w:p>
        </w:tc>
        <w:tc>
          <w:tcPr>
            <w:tcW w:type="dxa" w:w="2880"/>
          </w:tcPr>
          <w:p>
            <w:r>
              <w:t>8,650</w:t>
            </w:r>
          </w:p>
        </w:tc>
        <w:tc>
          <w:tcPr>
            <w:tcW w:type="dxa" w:w="2880"/>
          </w:tcPr>
          <w:p>
            <w:r>
              <w:t>11.78%</w:t>
            </w:r>
          </w:p>
        </w:tc>
      </w:tr>
    </w:tbl>
    <w:p/>
    <w:p>
      <w:pPr>
        <w:pStyle w:val="Heading2"/>
      </w:pPr>
      <w:r>
        <w:t>9. Real-data findings — surfaced as-is</w:t>
      </w:r>
    </w:p>
    <w:p>
      <w:r>
        <w:t>Scope note: this section describes the FULL year (train + test combined) — these are historian data-quality observations, not validator status results, so the train/test split doesn't apply to them.</w:t>
      </w:r>
    </w:p>
    <w:p>
      <w:pPr>
        <w:pStyle w:val="Heading3"/>
      </w:pPr>
      <w:r>
        <w:t>9.1 Spray Water Flow — no usable tag</w:t>
      </w:r>
    </w:p>
    <w:p>
      <w:r>
        <w:t xml:space="preserve">No real tag for spray water flow to the superheater exists in this historian export. Candidate proxy tags </w:t>
      </w:r>
      <w:r>
        <w:rPr>
          <w:rFonts w:ascii="Consolas" w:hAnsi="Consolas"/>
          <w:sz w:val="20"/>
        </w:rPr>
        <w:t>CV-116 FB</w:t>
      </w:r>
      <w:r>
        <w:t xml:space="preserve"> / </w:t>
      </w:r>
      <w:r>
        <w:rPr>
          <w:rFonts w:ascii="Consolas" w:hAnsi="Consolas"/>
          <w:sz w:val="20"/>
        </w:rPr>
        <w:t>CV-121 FB</w:t>
      </w:r>
      <w:r>
        <w:t xml:space="preserve"> exist but Module 1's config already rejected them as an unverified proxy ("CV-116/121 FB proxy mapping unclear, do not use"). Same call kept here — the water-steam balance in §4 runs without a spray term.</w:t>
      </w:r>
    </w:p>
    <w:p>
      <w:pPr>
        <w:pStyle w:val="Heading3"/>
      </w:pPr>
      <w:r>
        <w:t>9.2 Simultaneous frozen-value stretch, 2024-08-30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longest frozen streak</w:t>
            </w:r>
          </w:p>
        </w:tc>
        <w:tc>
          <w:tcPr>
            <w:tcW w:type="dxa" w:w="2880"/>
          </w:tcPr>
          <w:p>
            <w:r>
              <w:rPr>
                <w:b/>
              </w:rPr>
              <w:t>window ends</w:t>
            </w:r>
          </w:p>
        </w:tc>
      </w:tr>
      <w:tr>
        <w:tc>
          <w:tcPr>
            <w:tcW w:type="dxa" w:w="2880"/>
          </w:tcPr>
          <w:p>
            <w:r>
              <w:t>STEAM_FLOW_A</w:t>
            </w:r>
          </w:p>
        </w:tc>
        <w:tc>
          <w:tcPr>
            <w:tcW w:type="dxa" w:w="2880"/>
          </w:tcPr>
          <w:p>
            <w:r>
              <w:t>13 rows (~65 min)</w:t>
            </w:r>
          </w:p>
        </w:tc>
        <w:tc>
          <w:tcPr>
            <w:tcW w:type="dxa" w:w="2880"/>
          </w:tcPr>
          <w:p>
            <w:r>
              <w:t>2024-08-30 16:20:00</w:t>
            </w:r>
          </w:p>
        </w:tc>
      </w:tr>
      <w:tr>
        <w:tc>
          <w:tcPr>
            <w:tcW w:type="dxa" w:w="2880"/>
          </w:tcPr>
          <w:p>
            <w:r>
              <w:t>STEAM_FLOW_B</w:t>
            </w:r>
          </w:p>
        </w:tc>
        <w:tc>
          <w:tcPr>
            <w:tcW w:type="dxa" w:w="2880"/>
          </w:tcPr>
          <w:p>
            <w:r>
              <w:t>12 rows (~60 min)</w:t>
            </w:r>
          </w:p>
        </w:tc>
        <w:tc>
          <w:tcPr>
            <w:tcW w:type="dxa" w:w="2880"/>
          </w:tcPr>
          <w:p>
            <w:r>
              <w:t>2024-08-30 16:20:00</w:t>
            </w:r>
          </w:p>
        </w:tc>
      </w:tr>
      <w:tr>
        <w:tc>
          <w:tcPr>
            <w:tcW w:type="dxa" w:w="2880"/>
          </w:tcPr>
          <w:p>
            <w:r>
              <w:t>FEEDWATER_FLOW</w:t>
            </w:r>
          </w:p>
        </w:tc>
        <w:tc>
          <w:tcPr>
            <w:tcW w:type="dxa" w:w="2880"/>
          </w:tcPr>
          <w:p>
            <w:r>
              <w:t>12 rows (~60 min)</w:t>
            </w:r>
          </w:p>
        </w:tc>
        <w:tc>
          <w:tcPr>
            <w:tcW w:type="dxa" w:w="2880"/>
          </w:tcPr>
          <w:p>
            <w:r>
              <w:t>2024-08-30 16:20:00</w:t>
            </w:r>
          </w:p>
        </w:tc>
      </w:tr>
      <w:tr>
        <w:tc>
          <w:tcPr>
            <w:tcW w:type="dxa" w:w="2880"/>
          </w:tcPr>
          <w:p>
            <w:r>
              <w:t>TOTAL_PA_FLOW</w:t>
            </w:r>
          </w:p>
        </w:tc>
        <w:tc>
          <w:tcPr>
            <w:tcW w:type="dxa" w:w="2880"/>
          </w:tcPr>
          <w:p>
            <w:r>
              <w:t>6 rows (~30 min)</w:t>
            </w:r>
          </w:p>
        </w:tc>
        <w:tc>
          <w:tcPr>
            <w:tcW w:type="dxa" w:w="2880"/>
          </w:tcPr>
          <w:p>
            <w:r>
              <w:t>2024-08-30 17:50:00</w:t>
            </w:r>
          </w:p>
        </w:tc>
      </w:tr>
      <w:tr>
        <w:tc>
          <w:tcPr>
            <w:tcW w:type="dxa" w:w="2880"/>
          </w:tcPr>
          <w:p>
            <w:r>
              <w:t>SA_FLOW_A</w:t>
            </w:r>
          </w:p>
        </w:tc>
        <w:tc>
          <w:tcPr>
            <w:tcW w:type="dxa" w:w="2880"/>
          </w:tcPr>
          <w:p>
            <w:r>
              <w:t>0</w:t>
            </w:r>
          </w:p>
        </w:tc>
        <w:tc>
          <w:tcPr>
            <w:tcW w:type="dxa" w:w="2880"/>
          </w:tcPr>
          <w:p>
            <w:r>
              <w:t>—</w:t>
            </w:r>
          </w:p>
        </w:tc>
      </w:tr>
      <w:tr>
        <w:tc>
          <w:tcPr>
            <w:tcW w:type="dxa" w:w="2880"/>
          </w:tcPr>
          <w:p>
            <w:r>
              <w:t>SA_FLOW_B</w:t>
            </w:r>
          </w:p>
        </w:tc>
        <w:tc>
          <w:tcPr>
            <w:tcW w:type="dxa" w:w="2880"/>
          </w:tcPr>
          <w:p>
            <w:r>
              <w:t>0</w:t>
            </w:r>
          </w:p>
        </w:tc>
        <w:tc>
          <w:tcPr>
            <w:tcW w:type="dxa" w:w="2880"/>
          </w:tcPr>
          <w:p>
            <w:r>
              <w:t>—</w:t>
            </w:r>
          </w:p>
        </w:tc>
      </w:tr>
      <w:tr>
        <w:tc>
          <w:tcPr>
            <w:tcW w:type="dxa" w:w="2880"/>
          </w:tcPr>
          <w:p>
            <w:r>
              <w:t>TA_FLOW_A</w:t>
            </w:r>
          </w:p>
        </w:tc>
        <w:tc>
          <w:tcPr>
            <w:tcW w:type="dxa" w:w="2880"/>
          </w:tcPr>
          <w:p>
            <w:r>
              <w:t>0</w:t>
            </w:r>
          </w:p>
        </w:tc>
        <w:tc>
          <w:tcPr>
            <w:tcW w:type="dxa" w:w="2880"/>
          </w:tcPr>
          <w:p>
            <w:r>
              <w:t>—</w:t>
            </w:r>
          </w:p>
        </w:tc>
      </w:tr>
      <w:tr>
        <w:tc>
          <w:tcPr>
            <w:tcW w:type="dxa" w:w="2880"/>
          </w:tcPr>
          <w:p>
            <w:r>
              <w:t>TA_FLOW_B</w:t>
            </w:r>
          </w:p>
        </w:tc>
        <w:tc>
          <w:tcPr>
            <w:tcW w:type="dxa" w:w="2880"/>
          </w:tcPr>
          <w:p>
            <w:r>
              <w:t>0</w:t>
            </w:r>
          </w:p>
        </w:tc>
        <w:tc>
          <w:tcPr>
            <w:tcW w:type="dxa" w:w="2880"/>
          </w:tcPr>
          <w:p>
            <w:r>
              <w:t>—</w:t>
            </w:r>
          </w:p>
        </w:tc>
      </w:tr>
    </w:tbl>
    <w:p/>
    <w:p>
      <w:r>
        <w:t xml:space="preserve">Steam Flow-A, Steam Flow-B and Feedwater Flow are all frozen at identical values simultaneously for roughly an hour ending 2024-08-30 16:20 (values like </w:t>
      </w:r>
      <w:r>
        <w:rPr>
          <w:rFonts w:ascii="Consolas" w:hAnsi="Consolas"/>
          <w:sz w:val="20"/>
        </w:rPr>
        <w:t>153.000000</w:t>
      </w:r>
      <w:r>
        <w:t xml:space="preserve"> / </w:t>
      </w:r>
      <w:r>
        <w:rPr>
          <w:rFonts w:ascii="Consolas" w:hAnsi="Consolas"/>
          <w:sz w:val="20"/>
        </w:rPr>
        <w:t>154.000000</w:t>
      </w:r>
      <w:r>
        <w:t xml:space="preserve"> / </w:t>
      </w:r>
      <w:r>
        <w:rPr>
          <w:rFonts w:ascii="Consolas" w:hAnsi="Consolas"/>
          <w:sz w:val="20"/>
        </w:rPr>
        <w:t>164.753571</w:t>
      </w:r>
      <w:r>
        <w:t xml:space="preserve"> repeating exactly across ~12-13 consecutive 5-minute rows), with a second ~30-minute frozen stretch around 17:20-17:50 on the same day. All three key process variables freezing at once, at suspiciously round numbers, points to a historian/logging outage on that date rather than three independent sensor faults — worth confirming against plant maintenance logs for 2024-08-30 rather than trusting that window's readings.</w:t>
      </w:r>
    </w:p>
    <w:p>
      <w:pPr>
        <w:pStyle w:val="Heading3"/>
      </w:pPr>
      <w:r>
        <w:t>9.3 Secondary/Tertiary Air sensor gap periods</w:t>
      </w:r>
    </w:p>
    <w:p>
      <w:r>
        <w:t>Secondary Air: 161 distinct NaN gap periods, 14,782 rows total (16.1% of the year). The 5 largest gaps account for 8,870 of those rows — this is dominated by a handful of sustained multi-day outages, not scattered single-row dropouts: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start</w:t>
            </w:r>
          </w:p>
        </w:tc>
        <w:tc>
          <w:tcPr>
            <w:tcW w:type="dxa" w:w="2160"/>
          </w:tcPr>
          <w:p>
            <w:r>
              <w:rPr>
                <w:b/>
              </w:rPr>
              <w:t>end</w:t>
            </w:r>
          </w:p>
        </w:tc>
        <w:tc>
          <w:tcPr>
            <w:tcW w:type="dxa" w:w="2160"/>
          </w:tcPr>
          <w:p>
            <w:r>
              <w:rPr>
                <w:b/>
              </w:rPr>
              <w:t>rows</w:t>
            </w:r>
          </w:p>
        </w:tc>
        <w:tc>
          <w:tcPr>
            <w:tcW w:type="dxa" w:w="2160"/>
          </w:tcPr>
          <w:p>
            <w:r>
              <w:rPr>
                <w:b/>
              </w:rPr>
              <w:t>approx. duration</w:t>
            </w:r>
          </w:p>
        </w:tc>
      </w:tr>
      <w:tr>
        <w:tc>
          <w:tcPr>
            <w:tcW w:type="dxa" w:w="2160"/>
          </w:tcPr>
          <w:p>
            <w:r>
              <w:t>2024-08-21 22:55:00</w:t>
            </w:r>
          </w:p>
        </w:tc>
        <w:tc>
          <w:tcPr>
            <w:tcW w:type="dxa" w:w="2160"/>
          </w:tcPr>
          <w:p>
            <w:r>
              <w:t>2024-09-02 20:20:00</w:t>
            </w:r>
          </w:p>
        </w:tc>
        <w:tc>
          <w:tcPr>
            <w:tcW w:type="dxa" w:w="2160"/>
          </w:tcPr>
          <w:p>
            <w:r>
              <w:t>3,426</w:t>
            </w:r>
          </w:p>
        </w:tc>
        <w:tc>
          <w:tcPr>
            <w:tcW w:type="dxa" w:w="2160"/>
          </w:tcPr>
          <w:p>
            <w:r>
              <w:t>~11.9 days</w:t>
            </w:r>
          </w:p>
        </w:tc>
      </w:tr>
      <w:tr>
        <w:tc>
          <w:tcPr>
            <w:tcW w:type="dxa" w:w="2160"/>
          </w:tcPr>
          <w:p>
            <w:r>
              <w:t>2024-08-13 08:40:00</w:t>
            </w:r>
          </w:p>
        </w:tc>
        <w:tc>
          <w:tcPr>
            <w:tcW w:type="dxa" w:w="2160"/>
          </w:tcPr>
          <w:p>
            <w:r>
              <w:t>2024-08-21 22:25:00</w:t>
            </w:r>
          </w:p>
        </w:tc>
        <w:tc>
          <w:tcPr>
            <w:tcW w:type="dxa" w:w="2160"/>
          </w:tcPr>
          <w:p>
            <w:r>
              <w:t>2,470</w:t>
            </w:r>
          </w:p>
        </w:tc>
        <w:tc>
          <w:tcPr>
            <w:tcW w:type="dxa" w:w="2160"/>
          </w:tcPr>
          <w:p>
            <w:r>
              <w:t>~8.6 days</w:t>
            </w:r>
          </w:p>
        </w:tc>
      </w:tr>
      <w:tr>
        <w:tc>
          <w:tcPr>
            <w:tcW w:type="dxa" w:w="2160"/>
          </w:tcPr>
          <w:p>
            <w:r>
              <w:t>2024-08-01 13:40:00</w:t>
            </w:r>
          </w:p>
        </w:tc>
        <w:tc>
          <w:tcPr>
            <w:tcW w:type="dxa" w:w="2160"/>
          </w:tcPr>
          <w:p>
            <w:r>
              <w:t>2024-08-06 08:10:00</w:t>
            </w:r>
          </w:p>
        </w:tc>
        <w:tc>
          <w:tcPr>
            <w:tcW w:type="dxa" w:w="2160"/>
          </w:tcPr>
          <w:p>
            <w:r>
              <w:t>1,375</w:t>
            </w:r>
          </w:p>
        </w:tc>
        <w:tc>
          <w:tcPr>
            <w:tcW w:type="dxa" w:w="2160"/>
          </w:tcPr>
          <w:p>
            <w:r>
              <w:t>~4.8 days</w:t>
            </w:r>
          </w:p>
        </w:tc>
      </w:tr>
      <w:tr>
        <w:tc>
          <w:tcPr>
            <w:tcW w:type="dxa" w:w="2160"/>
          </w:tcPr>
          <w:p>
            <w:r>
              <w:t>2024-02-17 23:50:00</w:t>
            </w:r>
          </w:p>
        </w:tc>
        <w:tc>
          <w:tcPr>
            <w:tcW w:type="dxa" w:w="2160"/>
          </w:tcPr>
          <w:p>
            <w:r>
              <w:t>2024-02-20 20:05:00</w:t>
            </w:r>
          </w:p>
        </w:tc>
        <w:tc>
          <w:tcPr>
            <w:tcW w:type="dxa" w:w="2160"/>
          </w:tcPr>
          <w:p>
            <w:r>
              <w:t>820</w:t>
            </w:r>
          </w:p>
        </w:tc>
        <w:tc>
          <w:tcPr>
            <w:tcW w:type="dxa" w:w="2160"/>
          </w:tcPr>
          <w:p>
            <w:r>
              <w:t>~2.8 days</w:t>
            </w:r>
          </w:p>
        </w:tc>
      </w:tr>
      <w:tr>
        <w:tc>
          <w:tcPr>
            <w:tcW w:type="dxa" w:w="2160"/>
          </w:tcPr>
          <w:p>
            <w:r>
              <w:t>2024-08-10 15:10:00</w:t>
            </w:r>
          </w:p>
        </w:tc>
        <w:tc>
          <w:tcPr>
            <w:tcW w:type="dxa" w:w="2160"/>
          </w:tcPr>
          <w:p>
            <w:r>
              <w:t>2024-08-13 08:00:00</w:t>
            </w:r>
          </w:p>
        </w:tc>
        <w:tc>
          <w:tcPr>
            <w:tcW w:type="dxa" w:w="2160"/>
          </w:tcPr>
          <w:p>
            <w:r>
              <w:t>779</w:t>
            </w:r>
          </w:p>
        </w:tc>
        <w:tc>
          <w:tcPr>
            <w:tcW w:type="dxa" w:w="2160"/>
          </w:tcPr>
          <w:p>
            <w:r>
              <w:t>~2.7 days</w:t>
            </w:r>
          </w:p>
        </w:tc>
      </w:tr>
    </w:tbl>
    <w:p/>
    <w:p>
      <w:r>
        <w:t>Tertiary Air: 2 distinct gap period(s), 228 rows total — concentrated entirely on the first day of the dataset (2024-01-18 00:00:00 to 2024-01-18 20:55:00, 224 rows), i.e. instrumentation coming online at the very start of the historian export, not an ongoing issue.</w:t>
      </w:r>
    </w:p>
    <w:p>
      <w:pPr>
        <w:pStyle w:val="Heading3"/>
      </w:pPr>
      <w:r>
        <w:t>9.4 Total PA Flow: derivation cross-check</w:t>
      </w:r>
    </w:p>
    <w:p>
      <w:r>
        <w:t xml:space="preserve">A raw </w:t>
      </w:r>
      <w:r>
        <w:rPr>
          <w:rFonts w:ascii="Consolas" w:hAnsi="Consolas"/>
          <w:sz w:val="20"/>
        </w:rPr>
        <w:t>TOTAL PA FLOW</w:t>
      </w:r>
      <w:r>
        <w:t xml:space="preserve"> tag exists in the historian CSV separately from the 4 header sub-tags this report derives PA from (same derivation as Module 1's </w:t>
      </w:r>
      <w:r>
        <w:rPr>
          <w:rFonts w:ascii="Consolas" w:hAnsi="Consolas"/>
          <w:sz w:val="20"/>
        </w:rPr>
        <w:t>PRIMARY_AIR_FLOW</w:t>
      </w:r>
      <w:r>
        <w:t>). Cross-checked: max abs difference 0.385 TPH, mean 0.0199 TPH — negligible (rounding), confirms the derivation is correct and consistent with the plant's own computed total.</w:t>
      </w:r>
    </w:p>
    <w:p>
      <w:pPr>
        <w:pStyle w:val="Heading3"/>
      </w:pPr>
      <w:r>
        <w:t>9.5 Sustained Tertiary Air flow reduction, 2024-02-08 to 2024-02-26</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period</w:t>
            </w:r>
          </w:p>
        </w:tc>
        <w:tc>
          <w:tcPr>
            <w:tcW w:type="dxa" w:w="1234"/>
          </w:tcPr>
          <w:p>
            <w:r>
              <w:rPr>
                <w:b/>
              </w:rPr>
              <w:t>n rows</w:t>
            </w:r>
          </w:p>
        </w:tc>
        <w:tc>
          <w:tcPr>
            <w:tcW w:type="dxa" w:w="1234"/>
          </w:tcPr>
          <w:p>
            <w:r>
              <w:rPr>
                <w:b/>
              </w:rPr>
              <w:t>TA-A mean</w:t>
            </w:r>
          </w:p>
        </w:tc>
        <w:tc>
          <w:tcPr>
            <w:tcW w:type="dxa" w:w="1234"/>
          </w:tcPr>
          <w:p>
            <w:r>
              <w:rPr>
                <w:b/>
              </w:rPr>
              <w:t>TA-B mean</w:t>
            </w:r>
          </w:p>
        </w:tc>
        <w:tc>
          <w:tcPr>
            <w:tcW w:type="dxa" w:w="1234"/>
          </w:tcPr>
          <w:p>
            <w:r>
              <w:rPr>
                <w:b/>
              </w:rPr>
              <w:t>Total TA mean</w:t>
            </w:r>
          </w:p>
        </w:tc>
        <w:tc>
          <w:tcPr>
            <w:tcW w:type="dxa" w:w="1234"/>
          </w:tcPr>
          <w:p>
            <w:r>
              <w:rPr>
                <w:b/>
              </w:rPr>
              <w:t>A/B ratio</w:t>
            </w:r>
          </w:p>
        </w:tc>
        <w:tc>
          <w:tcPr>
            <w:tcW w:type="dxa" w:w="1234"/>
          </w:tcPr>
          <w:p>
            <w:r>
              <w:rPr>
                <w:b/>
              </w:rPr>
              <w:t>Load mean</w:t>
            </w:r>
          </w:p>
        </w:tc>
      </w:tr>
      <w:tr>
        <w:tc>
          <w:tcPr>
            <w:tcW w:type="dxa" w:w="1234"/>
          </w:tcPr>
          <w:p>
            <w:r>
              <w:t>before, Feb 1 – Feb 8 08:00</w:t>
            </w:r>
          </w:p>
        </w:tc>
        <w:tc>
          <w:tcPr>
            <w:tcW w:type="dxa" w:w="1234"/>
          </w:tcPr>
          <w:p>
            <w:r>
              <w:t>2,112</w:t>
            </w:r>
          </w:p>
        </w:tc>
        <w:tc>
          <w:tcPr>
            <w:tcW w:type="dxa" w:w="1234"/>
          </w:tcPr>
          <w:p>
            <w:r>
              <w:t>30.7</w:t>
            </w:r>
          </w:p>
        </w:tc>
        <w:tc>
          <w:tcPr>
            <w:tcW w:type="dxa" w:w="1234"/>
          </w:tcPr>
          <w:p>
            <w:r>
              <w:t>30.5</w:t>
            </w:r>
          </w:p>
        </w:tc>
        <w:tc>
          <w:tcPr>
            <w:tcW w:type="dxa" w:w="1234"/>
          </w:tcPr>
          <w:p>
            <w:r>
              <w:t>61.1</w:t>
            </w:r>
          </w:p>
        </w:tc>
        <w:tc>
          <w:tcPr>
            <w:tcW w:type="dxa" w:w="1234"/>
          </w:tcPr>
          <w:p>
            <w:r>
              <w:t>1.007</w:t>
            </w:r>
          </w:p>
        </w:tc>
        <w:tc>
          <w:tcPr>
            <w:tcW w:type="dxa" w:w="1234"/>
          </w:tcPr>
          <w:p>
            <w:r>
              <w:t>98.1%</w:t>
            </w:r>
          </w:p>
        </w:tc>
      </w:tr>
      <w:tr>
        <w:tc>
          <w:tcPr>
            <w:tcW w:type="dxa" w:w="1234"/>
          </w:tcPr>
          <w:p>
            <w:r>
              <w:t>stage 1, Feb 8 12:00 – Feb 12 08:00</w:t>
            </w:r>
          </w:p>
        </w:tc>
        <w:tc>
          <w:tcPr>
            <w:tcW w:type="dxa" w:w="1234"/>
          </w:tcPr>
          <w:p>
            <w:r>
              <w:t>1,099</w:t>
            </w:r>
          </w:p>
        </w:tc>
        <w:tc>
          <w:tcPr>
            <w:tcW w:type="dxa" w:w="1234"/>
          </w:tcPr>
          <w:p>
            <w:r>
              <w:t>6.0</w:t>
            </w:r>
          </w:p>
        </w:tc>
        <w:tc>
          <w:tcPr>
            <w:tcW w:type="dxa" w:w="1234"/>
          </w:tcPr>
          <w:p>
            <w:r>
              <w:t>5.3</w:t>
            </w:r>
          </w:p>
        </w:tc>
        <w:tc>
          <w:tcPr>
            <w:tcW w:type="dxa" w:w="1234"/>
          </w:tcPr>
          <w:p>
            <w:r>
              <w:t>11.3</w:t>
            </w:r>
          </w:p>
        </w:tc>
        <w:tc>
          <w:tcPr>
            <w:tcW w:type="dxa" w:w="1234"/>
          </w:tcPr>
          <w:p>
            <w:r>
              <w:t>1.138</w:t>
            </w:r>
          </w:p>
        </w:tc>
        <w:tc>
          <w:tcPr>
            <w:tcW w:type="dxa" w:w="1234"/>
          </w:tcPr>
          <w:p>
            <w:r>
              <w:t>91.2%</w:t>
            </w:r>
          </w:p>
        </w:tc>
      </w:tr>
      <w:tr>
        <w:tc>
          <w:tcPr>
            <w:tcW w:type="dxa" w:w="1234"/>
          </w:tcPr>
          <w:p>
            <w:r>
              <w:t>stage 2, Feb 12 12:00 – Feb 26 12:00</w:t>
            </w:r>
          </w:p>
        </w:tc>
        <w:tc>
          <w:tcPr>
            <w:tcW w:type="dxa" w:w="1234"/>
          </w:tcPr>
          <w:p>
            <w:r>
              <w:t>4,032</w:t>
            </w:r>
          </w:p>
        </w:tc>
        <w:tc>
          <w:tcPr>
            <w:tcW w:type="dxa" w:w="1234"/>
          </w:tcPr>
          <w:p>
            <w:r>
              <w:t>14.8</w:t>
            </w:r>
          </w:p>
        </w:tc>
        <w:tc>
          <w:tcPr>
            <w:tcW w:type="dxa" w:w="1234"/>
          </w:tcPr>
          <w:p>
            <w:r>
              <w:t>14.5</w:t>
            </w:r>
          </w:p>
        </w:tc>
        <w:tc>
          <w:tcPr>
            <w:tcW w:type="dxa" w:w="1234"/>
          </w:tcPr>
          <w:p>
            <w:r>
              <w:t>29.3</w:t>
            </w:r>
          </w:p>
        </w:tc>
        <w:tc>
          <w:tcPr>
            <w:tcW w:type="dxa" w:w="1234"/>
          </w:tcPr>
          <w:p>
            <w:r>
              <w:t>1.021</w:t>
            </w:r>
          </w:p>
        </w:tc>
        <w:tc>
          <w:tcPr>
            <w:tcW w:type="dxa" w:w="1234"/>
          </w:tcPr>
          <w:p>
            <w:r>
              <w:t>101.1%</w:t>
            </w:r>
          </w:p>
        </w:tc>
      </w:tr>
      <w:tr>
        <w:tc>
          <w:tcPr>
            <w:tcW w:type="dxa" w:w="1234"/>
          </w:tcPr>
          <w:p>
            <w:r>
              <w:t>after, Feb 26 16:00 – Feb 29</w:t>
            </w:r>
          </w:p>
        </w:tc>
        <w:tc>
          <w:tcPr>
            <w:tcW w:type="dxa" w:w="1234"/>
          </w:tcPr>
          <w:p>
            <w:r>
              <w:t>960</w:t>
            </w:r>
          </w:p>
        </w:tc>
        <w:tc>
          <w:tcPr>
            <w:tcW w:type="dxa" w:w="1234"/>
          </w:tcPr>
          <w:p>
            <w:r>
              <w:t>25.5</w:t>
            </w:r>
          </w:p>
        </w:tc>
        <w:tc>
          <w:tcPr>
            <w:tcW w:type="dxa" w:w="1234"/>
          </w:tcPr>
          <w:p>
            <w:r>
              <w:t>25.3</w:t>
            </w:r>
          </w:p>
        </w:tc>
        <w:tc>
          <w:tcPr>
            <w:tcW w:type="dxa" w:w="1234"/>
          </w:tcPr>
          <w:p>
            <w:r>
              <w:t>50.8</w:t>
            </w:r>
          </w:p>
        </w:tc>
        <w:tc>
          <w:tcPr>
            <w:tcW w:type="dxa" w:w="1234"/>
          </w:tcPr>
          <w:p>
            <w:r>
              <w:t>1.008</w:t>
            </w:r>
          </w:p>
        </w:tc>
        <w:tc>
          <w:tcPr>
            <w:tcW w:type="dxa" w:w="1234"/>
          </w:tcPr>
          <w:p>
            <w:r>
              <w:t>103.4%</w:t>
            </w:r>
          </w:p>
        </w:tc>
      </w:tr>
    </w:tbl>
    <w:p/>
    <w:p>
      <w:r>
        <w:t>For about 18 days, Total Tertiary Air ran far below its normal level (full-year average ~51 TPH) while Load stayed in its ordinary operating range throughout — this is not a load-driven change. Two distinct stages: a severe drop (~11 TPH, ~82% below normal) for the first 4 days, with the A/B split also genuinely widening (ratio 1.14 vs. a normal ~1.01); then a partial recovery (~29 TPH, still ~43% below normal) for the remaining ~14 days, with the A/B split mostly (not fully) narrowing back. Both TA channels move together throughout — this rules out a single frozen/failed transmitter (which would hold one channel constant while the other kept varying normally) — pointing instead toward a genuine equipment or operating-mode event affecting both tertiary-air paths at once (e.g. TA damper/fan maintenance, or a deliberate air-distribution change with more load carried by PA/SA instead). This data alone can't confirm the cause — flagged for the plant engineer to check maintenance/operations logs for 2024-02-08 through 2024-02-26. This is also the event discussed in §3's split-method comparison: it happened to fall entirely inside the single-cutoff split's training window, which caused that baseline to (incorrectly) learn it as normal.</w:t>
      </w:r>
    </w:p>
    <w:p>
      <w:pPr>
        <w:pStyle w:val="Heading2"/>
      </w:pPr>
      <w:r>
        <w:t>10. Known limitations — not implemented in this phase</w:t>
      </w:r>
    </w:p>
    <w:p>
      <w:pPr>
        <w:pStyle w:val="ListBullet"/>
      </w:pPr>
      <w:r>
        <w:rPr>
          <w:b/>
        </w:rPr>
        <w:t>A/B side-balance trend analysis</w:t>
      </w:r>
      <w:r>
        <w:t xml:space="preserve"> — the doc notes "trend movement is often more informative than the absolute difference" for SA/TA A/B balance. This report only evaluates each row's instantaneous deviation against a load-binned band; no rolling-trend detection is implemented.</w:t>
      </w:r>
    </w:p>
    <w:p>
      <w:pPr>
        <w:pStyle w:val="ListBullet"/>
      </w:pPr>
      <w:r>
        <w:rPr>
          <w:b/>
        </w:rPr>
        <w:t>Water-steam balance tiebreak margin (15 percentage points), all `band_width_std` values, the 20% train fraction, and the training-only stale threshold (12 rows) are user-configurable defaults or judgment calls</w:t>
      </w:r>
      <w:r>
        <w:t xml:space="preserve">, not numbers specified in the doc (only the 3% Steam Flow-A/B tolerance is an explicit doc value) — see </w:t>
      </w:r>
      <w:r>
        <w:rPr>
          <w:rFonts w:ascii="Consolas" w:hAnsi="Consolas"/>
          <w:sz w:val="20"/>
        </w:rPr>
        <w:t>clusters/cluster_config.yaml</w:t>
      </w:r>
      <w:r>
        <w:t xml:space="preserve"> and </w:t>
      </w:r>
      <w:r>
        <w:rPr>
          <w:rFonts w:ascii="Consolas" w:hAnsi="Consolas"/>
          <w:sz w:val="20"/>
        </w:rPr>
        <w:t>shared/data_quality.py</w:t>
      </w:r>
      <w:r>
        <w:t xml:space="preserve"> for all tunable fields and their rationale.</w:t>
      </w:r>
    </w:p>
    <w:p>
      <w:pPr>
        <w:pStyle w:val="ListBullet"/>
      </w:pPr>
      <w:r>
        <w:rPr>
          <w:b/>
        </w:rPr>
        <w:t>Training-window mode classification can hiccup across small sampling gaps</w:t>
      </w:r>
      <w:r>
        <w:t xml:space="preserve"> — </w:t>
      </w:r>
      <w:r>
        <w:rPr>
          <w:rFonts w:ascii="Consolas" w:hAnsi="Consolas"/>
          <w:sz w:val="20"/>
        </w:rPr>
        <w:t>engine/mode_classifier.py</w:t>
      </w:r>
      <w:r>
        <w:t>'s rolling slope features compute a diff() across whatever rows are adjacent within a month's training slice; 2 small real gaps (50/100 min, both in January's slice) exist inside the actual training data and could in principle produce a spurious slope reading for the 1-2 rows adjacent to each. Not separately verified in this report. (Month-to-month boundaries in the concatenated training set also look like large gaps if diffed naively — those are a training-set construction artifact, not real data gaps, and mode_classifier.py is never run across that boundary.)</w:t>
      </w:r>
    </w:p>
    <w:p>
      <w:pPr>
        <w:pStyle w:val="ListBullet"/>
      </w:pPr>
      <w:r>
        <w:rPr>
          <w:b/>
        </w:rPr>
        <w:t>A learned band from finite training data will always flag some fraction of even in-control test data by construction</w:t>
      </w:r>
      <w:r>
        <w:t xml:space="preserve"> (a 2-sigma band flags ~4-5% on a well-behaved normal distribution) — most of Air Envelope/SA/TA Balance's outlier rates in this report are close to that base rate, but TA Balance's 11.78% is NOT just base rate — see §3 and §9.5 for the real ~18-day Tertiary Air event driving it.</w:t>
      </w:r>
    </w:p>
    <w:p>
      <w:pPr>
        <w:pStyle w:val="ListBullet"/>
      </w:pPr>
      <w:r>
        <w:rPr>
          <w:b/>
        </w:rPr>
        <w:t>Not wired into `server.py` or the frontend</w:t>
      </w:r>
      <w:r>
        <w:t xml:space="preserve"> — by design, per this phase's scope. This report is the standalone deliverable.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Cluster 1 — Load-Flow Mass Balance — Validation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