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 2 — PA Fan Performance — Validation Report</w:t>
      </w:r>
    </w:p>
    <w:p>
      <w:r>
        <w:t xml:space="preserve">Source: </w:t>
      </w:r>
      <w:r>
        <w:rPr>
          <w:rFonts w:ascii="Consolas" w:hAnsi="Consolas"/>
          <w:sz w:val="20"/>
        </w:rPr>
        <w:t>backend/clusters/docs/Cluster_2_PA_Fan_Performance_Technical_Note Final.docx</w:t>
      </w:r>
      <w:r>
        <w:t xml:space="preserve"> Data: </w:t>
      </w:r>
      <w:r>
        <w:rPr>
          <w:rFonts w:ascii="Consolas" w:hAnsi="Consolas"/>
          <w:sz w:val="20"/>
        </w:rPr>
        <w:t>data/raw/boiler9_cleaned_2024.csv</w:t>
      </w:r>
      <w:r>
        <w:t>, 91,767 rows, 2024-01-18 00:00:00 to 2024-12-31 23:55:00</w:t>
      </w:r>
    </w:p>
    <w:p>
      <w:r>
        <w:t xml:space="preserve">Standalone offline pipeline, same phased methodology as Cluster 1 (Load-Flow Mass Balance) — read the doc, verify real tag availability (Step 0), build config -&gt; baseline -&gt; validator (Steps 1-3), produce this report (Step 4). </w:t>
      </w:r>
      <w:r>
        <w:rPr>
          <w:b/>
        </w:rPr>
        <w:t>Not wired into any live module or dashboard</w:t>
      </w:r>
      <w:r>
        <w:t xml:space="preserve"> — by design, same scope limitation as Cluster 1.</w:t>
      </w:r>
    </w:p>
    <w:p>
      <w:r>
        <w:rPr>
          <w:b/>
        </w:rPr>
        <w:t>Read this before the numbers below</w:t>
      </w:r>
      <w:r>
        <w:t xml:space="preserve">: because PA Fan Head is unavailable and Load doesn't explain Fan Flow in this plant's real data (section 1.3), this model answers </w:t>
      </w:r>
      <w:r>
        <w:rPr>
          <w:i/>
        </w:rPr>
        <w:t>"is each fan's RPM/Current/IGV internally consistent with its own measured Flow?"</w:t>
      </w:r>
      <w:r>
        <w:t xml:space="preserve"> — not </w:t>
      </w:r>
      <w:r>
        <w:rPr>
          <w:i/>
        </w:rPr>
        <w:t>"is the fan correctly responding to boiler demand?"</w:t>
      </w:r>
      <w:r>
        <w:t>, which is what Table 3's original demand-referenced framing (</w:t>
      </w:r>
      <w:r>
        <w:rPr>
          <w:rFonts w:ascii="Consolas" w:hAnsi="Consolas"/>
          <w:sz w:val="20"/>
        </w:rPr>
        <w:t>f(Fan Flow, Fan Head, Steam Flow)</w:t>
      </w:r>
      <w:r>
        <w:t>) implied. That's still a valid and useful diagnostic — a fan whose speed/current/IGV don't match its own Flow is a real signal worth investigating — but it is a different question than the doc originally posed, and a residual flagged here does not by itself mean the fan is failing to keep up with demand.</w:t>
      </w:r>
    </w:p>
    <w:p>
      <w:pPr>
        <w:pStyle w:val="Heading2"/>
      </w:pPr>
      <w:r>
        <w:t>1. Methodology</w:t>
      </w:r>
    </w:p>
    <w:p>
      <w:pPr>
        <w:pStyle w:val="Heading3"/>
      </w:pPr>
      <w:r>
        <w:t>1.1 Head decision (Step 0)</w:t>
      </w:r>
    </w:p>
    <w:p>
      <w:r>
        <w:t>No "PA Fan A Head" / "PA Fan B Head" tag exists anywhere in the raw historian. Exactly ONE PA-side pressure tag exists at all (</w:t>
      </w:r>
      <w:r>
        <w:rPr>
          <w:rFonts w:ascii="Consolas" w:hAnsi="Consolas"/>
          <w:sz w:val="20"/>
        </w:rPr>
        <w:t>PA PR TO HGG</w:t>
      </w:r>
      <w:r>
        <w:t xml:space="preserve">), and it is a byte-identical duplicate of </w:t>
      </w:r>
      <w:r>
        <w:rPr>
          <w:rFonts w:ascii="Consolas" w:hAnsi="Consolas"/>
          <w:sz w:val="20"/>
        </w:rPr>
        <w:t>PA PR TO APH (A)</w:t>
      </w:r>
      <w:r>
        <w:t xml:space="preserve"> (verified via </w:t>
      </w:r>
      <w:r>
        <w:rPr>
          <w:rFonts w:ascii="Consolas" w:hAnsi="Consolas"/>
          <w:sz w:val="20"/>
        </w:rPr>
        <w:t>pandas.Series.equals()</w:t>
      </w:r>
      <w:r>
        <w:t xml:space="preserve"> across all 91,767 rows) — the same physical tap logged twice under two names, not two real readings. No </w:t>
      </w:r>
      <w:r>
        <w:rPr>
          <w:rFonts w:ascii="Consolas" w:hAnsi="Consolas"/>
          <w:sz w:val="20"/>
        </w:rPr>
        <w:t>(B)</w:t>
      </w:r>
      <w:r>
        <w:t xml:space="preserve"> counterpart exists (unlike SA, which genuinely has both </w:t>
      </w:r>
      <w:r>
        <w:rPr>
          <w:rFonts w:ascii="Consolas" w:hAnsi="Consolas"/>
          <w:sz w:val="20"/>
        </w:rPr>
        <w:t>SA PR TO APH(A)</w:t>
      </w:r>
      <w:r>
        <w:t xml:space="preserve"> and </w:t>
      </w:r>
      <w:r>
        <w:rPr>
          <w:rFonts w:ascii="Consolas" w:hAnsi="Consolas"/>
          <w:sz w:val="20"/>
        </w:rPr>
        <w:t>SA PR TO APH(B)</w:t>
      </w:r>
      <w:r>
        <w:t>).</w:t>
      </w:r>
    </w:p>
    <w:p>
      <w:r>
        <w:rPr>
          <w:b/>
        </w:rPr>
        <w:t>Decision</w:t>
      </w:r>
      <w:r>
        <w:t xml:space="preserve"> (user, 2026-08-11): Head is dropped from all three relationship formulas (doc Table 3: </w:t>
      </w:r>
      <w:r>
        <w:rPr>
          <w:rFonts w:ascii="Consolas" w:hAnsi="Consolas"/>
          <w:sz w:val="20"/>
        </w:rPr>
        <w:t>Fan RPM/IGV/Current = f(Fan Flow, Fan Head, Steam Flow)</w:t>
      </w:r>
      <w:r>
        <w:t xml:space="preserve">, reduced here to </w:t>
      </w:r>
      <w:r>
        <w:rPr>
          <w:rFonts w:ascii="Consolas" w:hAnsi="Consolas"/>
          <w:sz w:val="20"/>
        </w:rPr>
        <w:t>f(Fan Flow)</w:t>
      </w:r>
      <w:r>
        <w:t xml:space="preserve">). This is a config-driven decision — </w:t>
      </w:r>
      <w:r>
        <w:rPr>
          <w:rFonts w:ascii="Consolas" w:hAnsi="Consolas"/>
          <w:sz w:val="20"/>
        </w:rPr>
        <w:t>clusters/cluster2_config.yaml</w:t>
      </w:r>
      <w:r>
        <w:t xml:space="preserve">'s </w:t>
      </w:r>
      <w:r>
        <w:rPr>
          <w:rFonts w:ascii="Consolas" w:hAnsi="Consolas"/>
          <w:sz w:val="20"/>
        </w:rPr>
        <w:t>relationships.*.stratify_by</w:t>
      </w:r>
      <w:r>
        <w:t xml:space="preserve"> lists currently read </w:t>
      </w:r>
      <w:r>
        <w:rPr>
          <w:rFonts w:ascii="Consolas" w:hAnsi="Consolas"/>
          <w:sz w:val="20"/>
        </w:rPr>
        <w:t>[FLOW]</w:t>
      </w:r>
      <w:r>
        <w:t xml:space="preserve"> only; adding a real per-fan Head tag later (status: </w:t>
      </w:r>
      <w:r>
        <w:rPr>
          <w:rFonts w:ascii="Consolas" w:hAnsi="Consolas"/>
          <w:sz w:val="20"/>
        </w:rPr>
        <w:t>available</w:t>
      </w:r>
      <w:r>
        <w:t xml:space="preserve">) and appending </w:t>
      </w:r>
      <w:r>
        <w:rPr>
          <w:rFonts w:ascii="Consolas" w:hAnsi="Consolas"/>
          <w:sz w:val="20"/>
        </w:rPr>
        <w:t>HEAD</w:t>
      </w:r>
      <w:r>
        <w:t xml:space="preserve"> to a relationship's </w:t>
      </w:r>
      <w:r>
        <w:rPr>
          <w:rFonts w:ascii="Consolas" w:hAnsi="Consolas"/>
          <w:sz w:val="20"/>
        </w:rPr>
        <w:t>stratify_by</w:t>
      </w:r>
      <w:r>
        <w:t xml:space="preserve"> list is intended to be sufficient, with no baseline/validator code change, since </w:t>
      </w:r>
      <w:r>
        <w:rPr>
          <w:rFonts w:ascii="Consolas" w:hAnsi="Consolas"/>
          <w:sz w:val="20"/>
        </w:rPr>
        <w:t>cluster2_baseline.py</w:t>
      </w:r>
      <w:r>
        <w:t xml:space="preserve">'s binning is written generically over however many </w:t>
      </w:r>
      <w:r>
        <w:rPr>
          <w:rFonts w:ascii="Consolas" w:hAnsi="Consolas"/>
          <w:sz w:val="20"/>
        </w:rPr>
        <w:t>stratify_by</w:t>
      </w:r>
      <w:r>
        <w:t xml:space="preserve"> columns are configured (see 1.3).</w:t>
      </w:r>
    </w:p>
    <w:p>
      <w:r>
        <w:t xml:space="preserve">A candidate Head substitute was found and is extracted for reference only, NOT used in any relationship: </w:t>
      </w:r>
      <w:r>
        <w:rPr>
          <w:rFonts w:ascii="Consolas" w:hAnsi="Consolas"/>
          <w:sz w:val="20"/>
        </w:rPr>
        <w:t>PA PR AT AIR BOX A/B/C</w:t>
      </w:r>
      <w:r>
        <w:t xml:space="preserve"> — three real, clean, independently-varying pressure tags downstream at the windbox. Not the same physical point as fan discharge head, and the A/B/C-to-fan-A/B correspondence is unconfirmed (a third "C" zone has no obvious fan mapping at all) — flagged for Punarbasu, not silently adopted.</w:t>
      </w:r>
    </w:p>
    <w:p>
      <w:pPr>
        <w:pStyle w:val="Heading3"/>
      </w:pPr>
      <w:r>
        <w:t>1.2 Training / test split and filters</w:t>
      </w:r>
    </w:p>
    <w:p>
      <w:r>
        <w:t>Same monthly-stratified 20/80 chronological split as Cluster 1 (</w:t>
      </w:r>
      <w:r>
        <w:rPr>
          <w:rFonts w:ascii="Consolas" w:hAnsi="Consolas"/>
          <w:sz w:val="20"/>
        </w:rPr>
        <w:t>shared/chronological_split.py</w:t>
      </w:r>
      <w:r>
        <w:t>) — trains only on the first 20% of each calendar month's own span, scores the remaining ~80% (genuinely unseen).</w:t>
      </w:r>
    </w:p>
    <w:p>
      <w:pPr>
        <w:pStyle w:val="ListBullet"/>
      </w:pPr>
      <w:r>
        <w:t>Total rows: 91,767</w:t>
      </w:r>
    </w:p>
    <w:p>
      <w:pPr>
        <w:pStyle w:val="ListBullet"/>
      </w:pPr>
      <w:r>
        <w:t>Training window: 18,340 rows</w:t>
      </w:r>
    </w:p>
    <w:p>
      <w:pPr>
        <w:pStyle w:val="ListBullet"/>
      </w:pPr>
      <w:r>
        <w:t>STEADY-only (of training window): 18,279 rows ({'STEADY': 18279, 'LOW_LOAD': 61})</w:t>
      </w:r>
    </w:p>
    <w:p>
      <w:pPr>
        <w:pStyle w:val="ListBullet"/>
      </w:pPr>
      <w:r>
        <w:t>Fan-running-only (of STEADY training rows, per side — see 1.4): A: 18,279, B: 18,279</w:t>
      </w:r>
    </w:p>
    <w:p>
      <w:pPr>
        <w:pStyle w:val="ListBullet"/>
      </w:pPr>
      <w:r>
        <w:t>Test window (scored by the validator): 73,427 rows</w:t>
      </w:r>
    </w:p>
    <w:p>
      <w:r>
        <w:t xml:space="preserve">Split diagnostics: 11 calendar months with data, 10 sampling gap(s) in the full dataset (see </w:t>
      </w:r>
      <w:r>
        <w:rPr>
          <w:rFonts w:ascii="Consolas" w:hAnsi="Consolas"/>
          <w:sz w:val="20"/>
        </w:rPr>
        <w:t>shared/chronological_split.py</w:t>
      </w:r>
      <w:r>
        <w:t>).</w:t>
      </w:r>
    </w:p>
    <w:p>
      <w:pPr>
        <w:pStyle w:val="Heading3"/>
      </w:pPr>
      <w:r>
        <w:t>1.3 Flow-binned baseline, not Load-binned — checked empirically, range-restriction ruled out</w:t>
      </w:r>
    </w:p>
    <w:p>
      <w:r>
        <w:t xml:space="preserve">Module 1/Cluster 1 both bin by LOAD using fixed edges </w:t>
      </w:r>
      <w:r>
        <w:rPr>
          <w:rFonts w:ascii="Consolas" w:hAnsi="Consolas"/>
          <w:sz w:val="20"/>
        </w:rPr>
        <w:t>[0,80,90,100,110,120]</w:t>
      </w:r>
      <w:r>
        <w:t xml:space="preserve"> (% MCR). Cluster 2 does NOT reuse those edges — checked first, not assumed:</w:t>
      </w:r>
    </w:p>
    <w:p>
      <w:pPr>
        <w:pStyle w:val="ListBullet"/>
      </w:pPr>
      <w:r>
        <w:rPr>
          <w:rFonts w:ascii="Consolas" w:hAnsi="Consolas"/>
          <w:sz w:val="20"/>
        </w:rPr>
        <w:t>corr(Load, Fan-A Flow)</w:t>
      </w:r>
      <w:r>
        <w:t xml:space="preserve"> = 0.139, </w:t>
      </w:r>
      <w:r>
        <w:rPr>
          <w:rFonts w:ascii="Consolas" w:hAnsi="Consolas"/>
          <w:sz w:val="20"/>
        </w:rPr>
        <w:t>corr(Load, Fan-B Flow)</w:t>
      </w:r>
      <w:r>
        <w:t xml:space="preserve"> = 0.106 — essentially no linear relationship in this real dataset.</w:t>
      </w:r>
    </w:p>
    <w:p>
      <w:pPr>
        <w:pStyle w:val="ListBullet"/>
      </w:pPr>
      <w:r>
        <w:rPr>
          <w:rFonts w:ascii="Consolas" w:hAnsi="Consolas"/>
          <w:sz w:val="20"/>
        </w:rPr>
        <w:t>corr(Fan-A Flow, Fan-B Flow)</w:t>
      </w:r>
      <w:r>
        <w:t xml:space="preserve"> = 0.994 — the two fans' own flows track each other almost perfectly.</w:t>
      </w:r>
    </w:p>
    <w:p>
      <w:r>
        <w:rPr>
          <w:b/>
        </w:rPr>
        <w:t>Range-restriction check.</w:t>
      </w:r>
      <w:r>
        <w:t xml:space="preserve"> A weak correlation between two variables that both occupy a narrow range can be a statistical artifact, not a real absence of relationship — Load itself is compressed to ~87-111% MCR nearly all year (CV 3.88%), and Flow's own range is narrow too (CV 2.51-2.52%), so this was checked directly rather than assumed away:</w:t>
      </w:r>
    </w:p>
    <w:p>
      <w:pPr>
        <w:pStyle w:val="ListBullet"/>
      </w:pPr>
      <w:r>
        <w:t>If Load genuinely drove Flow, conditioning on a narrow Load slice should shrink Flow's spread well below its unconditional (whole-dataset) spread — that's what "Load explains Flow's variance" means. Computed directly: binning Load into 1-percentage-point-wide bins (e.g. exactly 100-101% MCR, n=10,735) and comparing each bin's Flow std against Flow's unconditional std.</w:t>
      </w:r>
    </w:p>
    <w:p>
      <w:pPr>
        <w:pStyle w:val="ListBullet"/>
      </w:pPr>
      <w:r>
        <w:t xml:space="preserve">Result: the average within-Load-bin Flow std is </w:t>
      </w:r>
      <w:r>
        <w:rPr>
          <w:b/>
        </w:rPr>
        <w:t>101.1% of Flow's unconditional std</w:t>
      </w:r>
      <w:r>
        <w:t xml:space="preserve"> (Fan A) and </w:t>
      </w:r>
      <w:r>
        <w:rPr>
          <w:b/>
        </w:rPr>
        <w:t>100.2%</w:t>
      </w:r>
      <w:r>
        <w:t xml:space="preserve"> (Fan B) — i.e. knowing Load to within one percentage point explains approximately ZERO of Flow's variance, not just "not much." Within a single narrow load bin (n&gt;10,000 rows, load pinned at 100-101%), Fan A Flow still ranges 33.6-42.4 tph — nearly its entire full-dataset range (33.5-43.9 tph). In r² terms (variance explained under a linear model), Load explains ~1.95% of Fan A Flow's variance and ~1.13% of Fan B's.</w:t>
      </w:r>
    </w:p>
    <w:p>
      <w:r>
        <w:t xml:space="preserve">This rules out range restriction as the explanation for the weak correlation — if it were a range-restriction artifact, narrowing the Load window further should have revealed Flow tightening up correspondingly, and it does not. </w:t>
      </w:r>
      <w:r>
        <w:rPr>
          <w:b/>
        </w:rPr>
        <w:t>Flow is genuinely driven by something independent of demand in this plant's real 2024 operation</w:t>
      </w:r>
      <w:r>
        <w:t xml:space="preserve"> (most likely damper/IGV position or fan-combination/control choices not captured by Load alone) — a materially different physical story from the doc's own framing ("As boiler demand rises, PA fan output generally has to increase"), not merely a data-availability caveat.</w:t>
      </w:r>
    </w:p>
    <w:p>
      <w:r>
        <w:t xml:space="preserve">Given the doc's own Table 3 formula treats Fan Flow (not Load) as the primary input, and Load demonstrably doesn't explain Flow variance in this plant's real 2024 data (confirmed above, not a range artifact), each relationship's baseline is binned by the fan's OWN Flow instead. Flow has no natural "% of something" scale the way Load does, so bin edges are QUANTILE-based (5 bins by default, </w:t>
      </w:r>
      <w:r>
        <w:rPr>
          <w:rFonts w:ascii="Consolas" w:hAnsi="Consolas"/>
          <w:sz w:val="20"/>
        </w:rPr>
        <w:t>n_bins</w:t>
      </w:r>
      <w:r>
        <w:t xml:space="preserve"> in cluster2_config.yaml), computed from the STEADY+running training data itself, with the outer edges widened to +/-inf so any scoring-time value always falls in some bin.</w:t>
      </w:r>
    </w:p>
    <w:p>
      <w:pPr>
        <w:pStyle w:val="Heading3"/>
      </w:pPr>
      <w:r>
        <w:t>1.4 Fan-running derivation and fan-configuration mix — checked empirically</w:t>
      </w:r>
    </w:p>
    <w:p>
      <w:r>
        <w:t xml:space="preserve">No dedicated fan run/stop/trip tag exists for either fan (confirmed, Step 0). Derived from RPM per the doc's own suggestion ("Fan running condition can be determined from Fan Speed") — both fans' RPM sit at 1085+ for 99.9%+ of the year, with a clean, wide gap down to two real exceptions — </w:t>
      </w:r>
      <w:r>
        <w:rPr>
          <w:rFonts w:ascii="Consolas" w:hAnsi="Consolas"/>
          <w:sz w:val="20"/>
        </w:rPr>
        <w:t>fan_running.rpm_threshold: 500</w:t>
      </w:r>
      <w:r>
        <w:t xml:space="preserve"> (RPM) in cluster2_config.yaml sits cleanly in that gap.</w:t>
      </w:r>
    </w:p>
    <w:p>
      <w:r>
        <w:t xml:space="preserve">Fan-configuration mix: this plant runs BOTH PA fans essentially continuously through 2024 — 99.93%+ of rows have both fans above the running threshold. </w:t>
      </w:r>
      <w:r>
        <w:rPr>
          <w:b/>
        </w:rPr>
        <w:t>Two</w:t>
      </w:r>
      <w:r>
        <w:t xml:space="preserve"> exceptions exist, confirmed distinct in nature (checked at raw-tag resolution, not assumed identical just because both trip the same guard):</w:t>
      </w:r>
    </w:p>
    <w:p>
      <w:r>
        <w:t xml:space="preserve">1. </w:t>
      </w:r>
      <w:r>
        <w:rPr>
          <w:b/>
        </w:rPr>
        <w:t>2024-03-21, ~08:00-13:30</w:t>
      </w:r>
      <w:r>
        <w:t xml:space="preserve"> (widest window the guard trips across; the sharpest near-zero dip in current specifically is a narrower ~10:15-13:20 sub-window) — Fan A's RPM/current/IGV all decay together while Fan B's RPM/current visibly </w:t>
      </w:r>
      <w:r>
        <w:rPr>
          <w:i/>
        </w:rPr>
        <w:t>rise</w:t>
      </w:r>
      <w:r>
        <w:t xml:space="preserve"> to compensate. A physically coherent single-fan-stop signature — a genuine operational event (see section 4's "Multiple fan residuals" worked example, drawn from this event).</w:t>
      </w:r>
    </w:p>
    <w:p>
      <w:r>
        <w:t xml:space="preserve">2. </w:t>
      </w:r>
      <w:r>
        <w:rPr>
          <w:b/>
        </w:rPr>
        <w:t>2024-02-11 13:25-13:30</w:t>
      </w:r>
      <w:r>
        <w:t xml:space="preserve"> (2 rows) — BOTH fans' RPM/current drop together, immediately followed by a 25-minute historian sampling gap (13:35-13:55), then both recover together at 14:00. This timestamp is already documented in </w:t>
      </w:r>
      <w:r>
        <w:rPr>
          <w:rFonts w:ascii="Consolas" w:hAnsi="Consolas"/>
          <w:sz w:val="20"/>
        </w:rPr>
        <w:t>shared/data_quality.py</w:t>
      </w:r>
      <w:r>
        <w:t xml:space="preserve">'s </w:t>
      </w:r>
      <w:r>
        <w:rPr>
          <w:rFonts w:ascii="Consolas" w:hAnsi="Consolas"/>
          <w:sz w:val="20"/>
        </w:rPr>
        <w:t>KNOWN_BAD_TIMESTAMPS</w:t>
      </w:r>
      <w:r>
        <w:t xml:space="preserve"> as a Steam Flow-B glitch coinciding with a broader logging hiccup — this reads as the same brief data-quality/logging dropout affecting both fans at once, not a new finding about fan behavior or a second operational configuration change.</w:t>
      </w:r>
    </w:p>
    <w:p>
      <w:r>
        <w:rPr>
          <w:b/>
        </w:rPr>
        <w:t>No per-configuration baselines are built</w:t>
      </w:r>
      <w:r>
        <w:t xml:space="preserve"> (Fan-A-only / Fan-B-only / changeover) — there is no meaningful training population for any configuration other than "both running," checked empirically rather than assumed, per the brief's explicit instruction.</w:t>
      </w:r>
    </w:p>
    <w:p>
      <w:pPr>
        <w:pStyle w:val="Heading3"/>
      </w:pPr>
      <w:r>
        <w:t>1.5 A/B imbalance baseline — a real bug found and fixed during Step 3</w:t>
      </w:r>
    </w:p>
    <w:p>
      <w:r>
        <w:t xml:space="preserve">Applying the doc's literal formula, </w:t>
      </w:r>
      <w:r>
        <w:rPr>
          <w:rFonts w:ascii="Consolas" w:hAnsi="Consolas"/>
          <w:sz w:val="20"/>
        </w:rPr>
        <w:t>A/B Current Imbalance (%) = (Current_A - Current_B) / avg * 100</w:t>
      </w:r>
      <w:r>
        <w:t xml:space="preserve">, and flagging anything beyond a fixed threshold around 0%, was tried first and produces a </w:t>
      </w:r>
      <w:r>
        <w:rPr>
          <w:b/>
        </w:rPr>
        <w:t>false alarm on essentially every row</w:t>
      </w:r>
      <w:r>
        <w:t>: Fan A and Fan B draw structurally different current at comparable duty/RPM in this plant (Fan A mean ~328 A, Fan B mean ~532 A — a stable ~-47.2% offset, IQR -47.5% to -46.8%, std only 0.62 percentage points during STEADY+comparable-duty operation). RPM imbalance, by contrast, genuinely IS centered near zero (-0.41% mean).</w:t>
      </w:r>
    </w:p>
    <w:p>
      <w:r>
        <w:t xml:space="preserve">This matches the doc's own Table 4 framing exactly: </w:t>
      </w:r>
      <w:r>
        <w:rPr>
          <w:i/>
        </w:rPr>
        <w:t>"A small and stable difference indicates normal unequal load sharing... A sudden increase or a continuously rising difference may indicate a change"</w:t>
      </w:r>
      <w:r>
        <w:t xml:space="preserve"> — the doc anticipates a non-zero, stable baseline, not that 0% is automatically "normal." Fixed by giving both imbalance metrics their own LEARNED STEADY-state band (global, not Flow-binned — the doc frames this as "stable," not load-dependent), and scoring actual imbalance against that learned band instead of a fixed threshold at zero. The underlying cause of the ~47% structural current offset (different motor/fan capacity rating, or different current- transformer scaling between the two fans) is an open item for Punarbasu (see section 5) — this report does not resolve it, only avoids mischaracterizing it as a fault.</w:t>
      </w:r>
    </w:p>
    <w:p>
      <w:pPr>
        <w:pStyle w:val="Heading2"/>
      </w:pPr>
      <w:r>
        <w:t>2. Parameters, thresholds and tolerances (all user-configurable)</w:t>
      </w:r>
    </w:p>
    <w:p>
      <w:r>
        <w:t xml:space="preserve">Per the doc's own instruction — </w:t>
      </w:r>
      <w:r>
        <w:rPr>
          <w:i/>
        </w:rPr>
        <w:t>"Absolute limits should be finalized from approved design data and reviewed healthy operation; they should not be assumed from generic fan behavior"</w:t>
      </w:r>
      <w:r>
        <w:t xml:space="preserve"> — every number below is a reasonable configurable default pending plant validation, not a doc-given value (only the formulas themselves, doc Table 3/5, are used verbatim).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fan_rpm.stratify_by</w:t>
            </w:r>
          </w:p>
        </w:tc>
        <w:tc>
          <w:tcPr>
            <w:tcW w:type="dxa" w:w="2880"/>
          </w:tcPr>
          <w:p>
            <w:r>
              <w:t>['FLOW']</w:t>
            </w:r>
          </w:p>
        </w:tc>
        <w:tc>
          <w:tcPr>
            <w:tcW w:type="dxa" w:w="2880"/>
          </w:tcPr>
          <w:p>
            <w:r>
              <w:t>Step 0 decision, see 1.1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fan_rpm.n_bins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fan_igv.stratify_by</w:t>
            </w:r>
          </w:p>
        </w:tc>
        <w:tc>
          <w:tcPr>
            <w:tcW w:type="dxa" w:w="2880"/>
          </w:tcPr>
          <w:p>
            <w:r>
              <w:t>['FLOW']</w:t>
            </w:r>
          </w:p>
        </w:tc>
        <w:tc>
          <w:tcPr>
            <w:tcW w:type="dxa" w:w="2880"/>
          </w:tcPr>
          <w:p>
            <w:r>
              <w:t>Step 0 decision, see 1.1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fan_igv.n_bins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fan_current.stratify_by</w:t>
            </w:r>
          </w:p>
        </w:tc>
        <w:tc>
          <w:tcPr>
            <w:tcW w:type="dxa" w:w="2880"/>
          </w:tcPr>
          <w:p>
            <w:r>
              <w:t>['FLOW']</w:t>
            </w:r>
          </w:p>
        </w:tc>
        <w:tc>
          <w:tcPr>
            <w:tcW w:type="dxa" w:w="2880"/>
          </w:tcPr>
          <w:p>
            <w:r>
              <w:t>Step 0 decision, see 1.1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fan_current.n_bins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ab_imbalance_guard.comparable_duty_tolerance_pct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ab_imbalance_guard.band_width_std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configurable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fan_running.rpm_threshold</w:t>
            </w:r>
          </w:p>
        </w:tc>
        <w:tc>
          <w:tcPr>
            <w:tcW w:type="dxa" w:w="2880"/>
          </w:tcPr>
          <w:p>
            <w:r>
              <w:t>500.0 RPM</w:t>
            </w:r>
          </w:p>
        </w:tc>
        <w:tc>
          <w:tcPr>
            <w:tcW w:type="dxa" w:w="2880"/>
          </w:tcPr>
          <w:p>
            <w:r>
              <w:t>empirically chosen, see 1.4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baseline.min_samples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configurable default, same as Cluster 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persistence.minutes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 xml:space="preserve">configurable default — </w:t>
            </w:r>
            <w:r>
              <w:rPr>
                <w:b/>
              </w:rPr>
              <w:t>not implemented this phase</w:t>
            </w:r>
            <w:r>
              <w:t>, see section 6</w:t>
            </w:r>
          </w:p>
        </w:tc>
      </w:tr>
    </w:tbl>
    <w:p/>
    <w:p>
      <w:pPr>
        <w:pStyle w:val="Heading2"/>
      </w:pPr>
      <w:r>
        <w:t>3. Summary status by relationship</w:t>
      </w:r>
    </w:p>
    <w:p>
      <w:r>
        <w:t>Scored across the full test window (73,427 rows, unseen by training).</w:t>
      </w:r>
    </w:p>
    <w:p>
      <w:pPr>
        <w:pStyle w:val="Heading3"/>
      </w:pPr>
      <w:r>
        <w:t>fan_a_rpm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68,711</w:t>
            </w:r>
          </w:p>
        </w:tc>
        <w:tc>
          <w:tcPr>
            <w:tcW w:type="dxa" w:w="2880"/>
          </w:tcPr>
          <w:p>
            <w:r>
              <w:t>93.58%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4,648</w:t>
            </w:r>
          </w:p>
        </w:tc>
        <w:tc>
          <w:tcPr>
            <w:tcW w:type="dxa" w:w="2880"/>
          </w:tcPr>
          <w:p>
            <w:r>
              <w:t>6.33%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</w:tbl>
    <w:p/>
    <w:p>
      <w:pPr>
        <w:pStyle w:val="Heading3"/>
      </w:pPr>
      <w:r>
        <w:t>fan_a_current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69,282</w:t>
            </w:r>
          </w:p>
        </w:tc>
        <w:tc>
          <w:tcPr>
            <w:tcW w:type="dxa" w:w="2880"/>
          </w:tcPr>
          <w:p>
            <w:r>
              <w:t>94.35%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4,077</w:t>
            </w:r>
          </w:p>
        </w:tc>
        <w:tc>
          <w:tcPr>
            <w:tcW w:type="dxa" w:w="2880"/>
          </w:tcPr>
          <w:p>
            <w:r>
              <w:t>5.55%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</w:tbl>
    <w:p/>
    <w:p>
      <w:pPr>
        <w:pStyle w:val="Heading3"/>
      </w:pPr>
      <w:r>
        <w:t>fan_a_igv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73,348</w:t>
            </w:r>
          </w:p>
        </w:tc>
        <w:tc>
          <w:tcPr>
            <w:tcW w:type="dxa" w:w="2880"/>
          </w:tcPr>
          <w:p>
            <w:r>
              <w:t>99.89%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0.01%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</w:tbl>
    <w:p/>
    <w:p>
      <w:pPr>
        <w:pStyle w:val="Heading3"/>
      </w:pPr>
      <w:r>
        <w:t>fan_b_rpm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69,463</w:t>
            </w:r>
          </w:p>
        </w:tc>
        <w:tc>
          <w:tcPr>
            <w:tcW w:type="dxa" w:w="2880"/>
          </w:tcPr>
          <w:p>
            <w:r>
              <w:t>94.60%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3,963</w:t>
            </w:r>
          </w:p>
        </w:tc>
        <w:tc>
          <w:tcPr>
            <w:tcW w:type="dxa" w:w="2880"/>
          </w:tcPr>
          <w:p>
            <w:r>
              <w:t>5.40%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fan_b_current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69,976</w:t>
            </w:r>
          </w:p>
        </w:tc>
        <w:tc>
          <w:tcPr>
            <w:tcW w:type="dxa" w:w="2880"/>
          </w:tcPr>
          <w:p>
            <w:r>
              <w:t>95.30%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3,450</w:t>
            </w:r>
          </w:p>
        </w:tc>
        <w:tc>
          <w:tcPr>
            <w:tcW w:type="dxa" w:w="2880"/>
          </w:tcPr>
          <w:p>
            <w:r>
              <w:t>4.70%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fan_b_igv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26,094</w:t>
            </w:r>
          </w:p>
        </w:tc>
        <w:tc>
          <w:tcPr>
            <w:tcW w:type="dxa" w:w="2880"/>
          </w:tcPr>
          <w:p>
            <w:r>
              <w:t>35.54%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42,737</w:t>
            </w:r>
          </w:p>
        </w:tc>
        <w:tc>
          <w:tcPr>
            <w:tcW w:type="dxa" w:w="2880"/>
          </w:tcPr>
          <w:p>
            <w:r>
              <w:t>58.20%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4,596</w:t>
            </w:r>
          </w:p>
        </w:tc>
        <w:tc>
          <w:tcPr>
            <w:tcW w:type="dxa" w:w="2880"/>
          </w:tcPr>
          <w:p>
            <w:r>
              <w:t>6.26%</w:t>
            </w:r>
          </w:p>
        </w:tc>
      </w:tr>
    </w:tbl>
    <w:p/>
    <w:p>
      <w:pPr>
        <w:pStyle w:val="Heading3"/>
      </w:pPr>
      <w:r>
        <w:t>ab_current_imbalance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71,149</w:t>
            </w:r>
          </w:p>
        </w:tc>
        <w:tc>
          <w:tcPr>
            <w:tcW w:type="dxa" w:w="2880"/>
          </w:tcPr>
          <w:p>
            <w:r>
              <w:t>96.90%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2,210</w:t>
            </w:r>
          </w:p>
        </w:tc>
        <w:tc>
          <w:tcPr>
            <w:tcW w:type="dxa" w:w="2880"/>
          </w:tcPr>
          <w:p>
            <w:r>
              <w:t>3.01%</w:t>
            </w:r>
          </w:p>
        </w:tc>
      </w:tr>
      <w:tr>
        <w:tc>
          <w:tcPr>
            <w:tcW w:type="dxa" w:w="2880"/>
          </w:tcPr>
          <w:p>
            <w:r>
              <w:t>ambiguous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ab_rpm_imbalance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consistent</w:t>
            </w:r>
          </w:p>
        </w:tc>
        <w:tc>
          <w:tcPr>
            <w:tcW w:type="dxa" w:w="2880"/>
          </w:tcPr>
          <w:p>
            <w:r>
              <w:t>73,343</w:t>
            </w:r>
          </w:p>
        </w:tc>
        <w:tc>
          <w:tcPr>
            <w:tcW w:type="dxa" w:w="2880"/>
          </w:tcPr>
          <w:p>
            <w:r>
              <w:t>99.89%</w:t>
            </w:r>
          </w:p>
        </w:tc>
      </w:tr>
      <w:tr>
        <w:tc>
          <w:tcPr>
            <w:tcW w:type="dxa" w:w="2880"/>
          </w:tcPr>
          <w:p>
            <w:r>
              <w:t>outlier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0.02%</w:t>
            </w:r>
          </w:p>
        </w:tc>
      </w:tr>
      <w:tr>
        <w:tc>
          <w:tcPr>
            <w:tcW w:type="dxa" w:w="2880"/>
          </w:tcPr>
          <w:p>
            <w:r>
              <w:t>ambiguous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0.09%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Diagnostic pattern occurrence (doc section 6 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4320"/>
          </w:tcPr>
          <w:p>
            <w:r>
              <w:t>Current high; RPM and demand normal</w:t>
            </w:r>
          </w:p>
        </w:tc>
        <w:tc>
          <w:tcPr>
            <w:tcW w:type="dxa" w:w="4320"/>
          </w:tcPr>
          <w:p>
            <w:r>
              <w:t>2,456</w:t>
            </w:r>
          </w:p>
        </w:tc>
      </w:tr>
      <w:tr>
        <w:tc>
          <w:tcPr>
            <w:tcW w:type="dxa" w:w="4320"/>
          </w:tcPr>
          <w:p>
            <w:r>
              <w:t>RPM high for normal demand</w:t>
            </w:r>
          </w:p>
        </w:tc>
        <w:tc>
          <w:tcPr>
            <w:tcW w:type="dxa" w:w="4320"/>
          </w:tcPr>
          <w:p>
            <w:r>
              <w:t>2,861</w:t>
            </w:r>
          </w:p>
        </w:tc>
      </w:tr>
      <w:tr>
        <w:tc>
          <w:tcPr>
            <w:tcW w:type="dxa" w:w="4320"/>
          </w:tcPr>
          <w:p>
            <w:r>
              <w:t>IGV feedback abnormal for RPM/demand</w:t>
            </w:r>
          </w:p>
        </w:tc>
        <w:tc>
          <w:tcPr>
            <w:tcW w:type="dxa" w:w="4320"/>
          </w:tcPr>
          <w:p>
            <w:r>
              <w:t>39,424</w:t>
            </w:r>
          </w:p>
        </w:tc>
      </w:tr>
      <w:tr>
        <w:tc>
          <w:tcPr>
            <w:tcW w:type="dxa" w:w="4320"/>
          </w:tcPr>
          <w:p>
            <w:r>
              <w:t>A/B residual divergence</w:t>
            </w:r>
          </w:p>
        </w:tc>
        <w:tc>
          <w:tcPr>
            <w:tcW w:type="dxa" w:w="4320"/>
          </w:tcPr>
          <w:p>
            <w:r>
              <w:t>2,213</w:t>
            </w:r>
          </w:p>
        </w:tc>
      </w:tr>
      <w:tr>
        <w:tc>
          <w:tcPr>
            <w:tcW w:type="dxa" w:w="4320"/>
          </w:tcPr>
          <w:p>
            <w:r>
              <w:t>All fan variables shift with load reference mismatch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Multiple fan residuals persist with process deviation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(no flagged pattern — healthy)</w:t>
            </w:r>
          </w:p>
        </w:tc>
        <w:tc>
          <w:tcPr>
            <w:tcW w:type="dxa" w:w="4320"/>
          </w:tcPr>
          <w:p>
            <w:r>
              <w:t>25,965</w:t>
            </w:r>
          </w:p>
        </w:tc>
      </w:tr>
    </w:tbl>
    <w:p/>
    <w:p>
      <w:pPr>
        <w:pStyle w:val="Heading2"/>
      </w:pPr>
      <w:r>
        <w:t>4. Worked examples — one real case per residual pattern</w:t>
      </w:r>
    </w:p>
    <w:p>
      <w:r>
        <w:t>Per the brief: at least one real outlier case per row of the doc's residual-interpretation table (section 6), pulled from this report's own test-window scoring — none forced; every pattern below genuinely occurs in the 2024 data (unlike Cluster 1's SHUTDOWN case, which never occurred at all — Cluster 2 has no such absent pattern to report).</w:t>
      </w:r>
    </w:p>
    <w:p>
      <w:pPr>
        <w:pStyle w:val="Heading3"/>
      </w:pPr>
      <w:r>
        <w:t>Current high; RPM and demand normal</w:t>
      </w:r>
    </w:p>
    <w:p>
      <w:r>
        <w:rPr>
          <w:b/>
        </w:rPr>
        <w:t>2024-12-25 10:10:00</w:t>
      </w:r>
      <w:r>
        <w:t xml:space="preserve"> — Load 100.7% MCR</w:t>
      </w:r>
    </w:p>
    <w:p>
      <w:r>
        <w:t>&gt; Additional electrical/mechanical loading or current measurement issue. &gt; &gt; Required confirmation (doc, unmodified): Check persistence, A/B comparison, maintenance data and related pressures/flows.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1105.96</w:t>
            </w:r>
          </w:p>
        </w:tc>
        <w:tc>
          <w:tcPr>
            <w:tcW w:type="dxa" w:w="2160"/>
          </w:tcPr>
          <w:p>
            <w:r>
              <w:t>1146.54</w:t>
            </w:r>
          </w:p>
        </w:tc>
        <w:tc>
          <w:tcPr>
            <w:tcW w:type="dxa" w:w="2160"/>
          </w:tcPr>
          <w:p>
            <w:r>
              <w:t>-3.54%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303.45</w:t>
            </w:r>
          </w:p>
        </w:tc>
        <w:tc>
          <w:tcPr>
            <w:tcW w:type="dxa" w:w="2160"/>
          </w:tcPr>
          <w:p>
            <w:r>
              <w:t>317.18</w:t>
            </w:r>
          </w:p>
        </w:tc>
        <w:tc>
          <w:tcPr>
            <w:tcW w:type="dxa" w:w="2160"/>
          </w:tcPr>
          <w:p>
            <w:r>
              <w:t>-4.33%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100.44</w:t>
            </w:r>
          </w:p>
        </w:tc>
        <w:tc>
          <w:tcPr>
            <w:tcW w:type="dxa" w:w="2160"/>
          </w:tcPr>
          <w:p>
            <w:r>
              <w:t>+0.56%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1108.64</w:t>
            </w:r>
          </w:p>
        </w:tc>
        <w:tc>
          <w:tcPr>
            <w:tcW w:type="dxa" w:w="2160"/>
          </w:tcPr>
          <w:p>
            <w:r>
              <w:t>1152.05</w:t>
            </w:r>
          </w:p>
        </w:tc>
        <w:tc>
          <w:tcPr>
            <w:tcW w:type="dxa" w:w="2160"/>
          </w:tcPr>
          <w:p>
            <w:r>
              <w:t>-3.77%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491.28</w:t>
            </w:r>
          </w:p>
        </w:tc>
        <w:tc>
          <w:tcPr>
            <w:tcW w:type="dxa" w:w="2160"/>
          </w:tcPr>
          <w:p>
            <w:r>
              <w:t>513.50</w:t>
            </w:r>
          </w:p>
        </w:tc>
        <w:tc>
          <w:tcPr>
            <w:tcW w:type="dxa" w:w="2160"/>
          </w:tcPr>
          <w:p>
            <w:r>
              <w:t>-4.33%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100.53</w:t>
            </w:r>
          </w:p>
        </w:tc>
        <w:tc>
          <w:tcPr>
            <w:tcW w:type="dxa" w:w="2160"/>
          </w:tcPr>
          <w:p>
            <w:r>
              <w:t>+0.47%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-47.27%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RPM high for normal demand</w:t>
      </w:r>
    </w:p>
    <w:p>
      <w:r>
        <w:rPr>
          <w:b/>
        </w:rPr>
        <w:t>2024-04-26 14:00:00</w:t>
      </w:r>
      <w:r>
        <w:t xml:space="preserve"> — Load 101.6% MCR</w:t>
      </w:r>
    </w:p>
    <w:p>
      <w:r>
        <w:t>&gt; More speed is required than the learned baseline. &gt; &gt; Required confirmation (doc, unmodified): Check PA-system resistance, air delivery and fan control state.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1195.05</w:t>
            </w:r>
          </w:p>
        </w:tc>
        <w:tc>
          <w:tcPr>
            <w:tcW w:type="dxa" w:w="2160"/>
          </w:tcPr>
          <w:p>
            <w:r>
              <w:t>1167.63</w:t>
            </w:r>
          </w:p>
        </w:tc>
        <w:tc>
          <w:tcPr>
            <w:tcW w:type="dxa" w:w="2160"/>
          </w:tcPr>
          <w:p>
            <w:r>
              <w:t>+2.35%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330.47</w:t>
            </w:r>
          </w:p>
        </w:tc>
        <w:tc>
          <w:tcPr>
            <w:tcW w:type="dxa" w:w="2160"/>
          </w:tcPr>
          <w:p>
            <w:r>
              <w:t>326.96</w:t>
            </w:r>
          </w:p>
        </w:tc>
        <w:tc>
          <w:tcPr>
            <w:tcW w:type="dxa" w:w="2160"/>
          </w:tcPr>
          <w:p>
            <w:r>
              <w:t>+1.07%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100.47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1201.18</w:t>
            </w:r>
          </w:p>
        </w:tc>
        <w:tc>
          <w:tcPr>
            <w:tcW w:type="dxa" w:w="2160"/>
          </w:tcPr>
          <w:p>
            <w:r>
              <w:t>1171.24</w:t>
            </w:r>
          </w:p>
        </w:tc>
        <w:tc>
          <w:tcPr>
            <w:tcW w:type="dxa" w:w="2160"/>
          </w:tcPr>
          <w:p>
            <w:r>
              <w:t>+2.56%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533.82</w:t>
            </w:r>
          </w:p>
        </w:tc>
        <w:tc>
          <w:tcPr>
            <w:tcW w:type="dxa" w:w="2160"/>
          </w:tcPr>
          <w:p>
            <w:r>
              <w:t>530.39</w:t>
            </w:r>
          </w:p>
        </w:tc>
        <w:tc>
          <w:tcPr>
            <w:tcW w:type="dxa" w:w="2160"/>
          </w:tcPr>
          <w:p>
            <w:r>
              <w:t>+0.65%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100.52</w:t>
            </w:r>
          </w:p>
        </w:tc>
        <w:tc>
          <w:tcPr>
            <w:tcW w:type="dxa" w:w="2160"/>
          </w:tcPr>
          <w:p>
            <w:r>
              <w:t>+1.47%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-47.06%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IGV feedback abnormal for RPM/demand</w:t>
      </w:r>
    </w:p>
    <w:p>
      <w:r>
        <w:rPr>
          <w:b/>
        </w:rPr>
        <w:t>2024-05-15 07:05:00</w:t>
      </w:r>
      <w:r>
        <w:t xml:space="preserve"> — Load 103.2% MCR</w:t>
      </w:r>
    </w:p>
    <w:p>
      <w:r>
        <w:t>&gt; Control-position or feedback relationship has changed. &gt; &gt; Required confirmation (doc, unmodified): Verify command vs feedback, linkage/actuator condition and operating mode.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1169.26</w:t>
            </w:r>
          </w:p>
        </w:tc>
        <w:tc>
          <w:tcPr>
            <w:tcW w:type="dxa" w:w="2160"/>
          </w:tcPr>
          <w:p>
            <w:r>
              <w:t>1167.63</w:t>
            </w:r>
          </w:p>
        </w:tc>
        <w:tc>
          <w:tcPr>
            <w:tcW w:type="dxa" w:w="2160"/>
          </w:tcPr>
          <w:p>
            <w:r>
              <w:t>+0.14%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324.85</w:t>
            </w:r>
          </w:p>
        </w:tc>
        <w:tc>
          <w:tcPr>
            <w:tcW w:type="dxa" w:w="2160"/>
          </w:tcPr>
          <w:p>
            <w:r>
              <w:t>326.96</w:t>
            </w:r>
          </w:p>
        </w:tc>
        <w:tc>
          <w:tcPr>
            <w:tcW w:type="dxa" w:w="2160"/>
          </w:tcPr>
          <w:p>
            <w:r>
              <w:t>-0.65%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100.47</w:t>
            </w:r>
          </w:p>
        </w:tc>
        <w:tc>
          <w:tcPr>
            <w:tcW w:type="dxa" w:w="2160"/>
          </w:tcPr>
          <w:p>
            <w:r>
              <w:t>+0.52%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1175.32</w:t>
            </w:r>
          </w:p>
        </w:tc>
        <w:tc>
          <w:tcPr>
            <w:tcW w:type="dxa" w:w="2160"/>
          </w:tcPr>
          <w:p>
            <w:r>
              <w:t>1171.24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527.83</w:t>
            </w:r>
          </w:p>
        </w:tc>
        <w:tc>
          <w:tcPr>
            <w:tcW w:type="dxa" w:w="2160"/>
          </w:tcPr>
          <w:p>
            <w:r>
              <w:t>530.39</w:t>
            </w:r>
          </w:p>
        </w:tc>
        <w:tc>
          <w:tcPr>
            <w:tcW w:type="dxa" w:w="2160"/>
          </w:tcPr>
          <w:p>
            <w:r>
              <w:t>-0.48%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100.52</w:t>
            </w:r>
          </w:p>
        </w:tc>
        <w:tc>
          <w:tcPr>
            <w:tcW w:type="dxa" w:w="2160"/>
          </w:tcPr>
          <w:p>
            <w:r>
              <w:t>+1.47%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-47.61%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A/B residual divergence</w:t>
      </w:r>
    </w:p>
    <w:p>
      <w:r>
        <w:rPr>
          <w:b/>
        </w:rPr>
        <w:t>2024-01-25 18:30:00</w:t>
      </w:r>
      <w:r>
        <w:t xml:space="preserve"> — Load 92.2% MCR</w:t>
      </w:r>
    </w:p>
    <w:p>
      <w:r>
        <w:t>&gt; One fan behaves differently from its own baseline or companion fan. &gt; &gt; Required confirmation (doc, unmodified): Confirm equal duty and compare downstream A/B air conditions.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1170.97</w:t>
            </w:r>
          </w:p>
        </w:tc>
        <w:tc>
          <w:tcPr>
            <w:tcW w:type="dxa" w:w="2160"/>
          </w:tcPr>
          <w:p>
            <w:r>
              <w:t>1180.30</w:t>
            </w:r>
          </w:p>
        </w:tc>
        <w:tc>
          <w:tcPr>
            <w:tcW w:type="dxa" w:w="2160"/>
          </w:tcPr>
          <w:p>
            <w:r>
              <w:t>-0.79%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330.58</w:t>
            </w:r>
          </w:p>
        </w:tc>
        <w:tc>
          <w:tcPr>
            <w:tcW w:type="dxa" w:w="2160"/>
          </w:tcPr>
          <w:p>
            <w:r>
              <w:t>332.61</w:t>
            </w:r>
          </w:p>
        </w:tc>
        <w:tc>
          <w:tcPr>
            <w:tcW w:type="dxa" w:w="2160"/>
          </w:tcPr>
          <w:p>
            <w:r>
              <w:t>-0.61%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100.47</w:t>
            </w:r>
          </w:p>
        </w:tc>
        <w:tc>
          <w:tcPr>
            <w:tcW w:type="dxa" w:w="2160"/>
          </w:tcPr>
          <w:p>
            <w:r>
              <w:t>-0.46%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1177.87</w:t>
            </w:r>
          </w:p>
        </w:tc>
        <w:tc>
          <w:tcPr>
            <w:tcW w:type="dxa" w:w="2160"/>
          </w:tcPr>
          <w:p>
            <w:r>
              <w:t>1184.63</w:t>
            </w:r>
          </w:p>
        </w:tc>
        <w:tc>
          <w:tcPr>
            <w:tcW w:type="dxa" w:w="2160"/>
          </w:tcPr>
          <w:p>
            <w:r>
              <w:t>-0.57%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542.36</w:t>
            </w:r>
          </w:p>
        </w:tc>
        <w:tc>
          <w:tcPr>
            <w:tcW w:type="dxa" w:w="2160"/>
          </w:tcPr>
          <w:p>
            <w:r>
              <w:t>537.19</w:t>
            </w:r>
          </w:p>
        </w:tc>
        <w:tc>
          <w:tcPr>
            <w:tcW w:type="dxa" w:w="2160"/>
          </w:tcPr>
          <w:p>
            <w:r>
              <w:t>+0.96%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i/>
              </w:rPr>
              <w:t>missing data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-48.52%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All fan variables shift with load reference mismatch</w:t>
      </w:r>
    </w:p>
    <w:p>
      <w:r>
        <w:rPr>
          <w:b/>
        </w:rPr>
        <w:t>2024-04-16 12:45:00</w:t>
      </w:r>
      <w:r>
        <w:t xml:space="preserve"> — Load 105.9% MCR</w:t>
      </w:r>
    </w:p>
    <w:p>
      <w:r>
        <w:t>&gt; Demand input may be unreliable or operation is transient, or a Fan deterioration issue requiring investigation. &gt; &gt; Required confirmation (doc, unmodified): Validate load and steam-flow relationship before fan diagnosis.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1198.95</w:t>
            </w:r>
          </w:p>
        </w:tc>
        <w:tc>
          <w:tcPr>
            <w:tcW w:type="dxa" w:w="2160"/>
          </w:tcPr>
          <w:p>
            <w:r>
              <w:t>1146.54</w:t>
            </w:r>
          </w:p>
        </w:tc>
        <w:tc>
          <w:tcPr>
            <w:tcW w:type="dxa" w:w="2160"/>
          </w:tcPr>
          <w:p>
            <w:r>
              <w:t>+4.57%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332.40</w:t>
            </w:r>
          </w:p>
        </w:tc>
        <w:tc>
          <w:tcPr>
            <w:tcW w:type="dxa" w:w="2160"/>
          </w:tcPr>
          <w:p>
            <w:r>
              <w:t>317.18</w:t>
            </w:r>
          </w:p>
        </w:tc>
        <w:tc>
          <w:tcPr>
            <w:tcW w:type="dxa" w:w="2160"/>
          </w:tcPr>
          <w:p>
            <w:r>
              <w:t>+4.80%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100.40</w:t>
            </w:r>
          </w:p>
        </w:tc>
        <w:tc>
          <w:tcPr>
            <w:tcW w:type="dxa" w:w="2160"/>
          </w:tcPr>
          <w:p>
            <w:r>
              <w:t>+0.60%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1205.26</w:t>
            </w:r>
          </w:p>
        </w:tc>
        <w:tc>
          <w:tcPr>
            <w:tcW w:type="dxa" w:w="2160"/>
          </w:tcPr>
          <w:p>
            <w:r>
              <w:t>1152.05</w:t>
            </w:r>
          </w:p>
        </w:tc>
        <w:tc>
          <w:tcPr>
            <w:tcW w:type="dxa" w:w="2160"/>
          </w:tcPr>
          <w:p>
            <w:r>
              <w:t>+4.62%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538.55</w:t>
            </w:r>
          </w:p>
        </w:tc>
        <w:tc>
          <w:tcPr>
            <w:tcW w:type="dxa" w:w="2160"/>
          </w:tcPr>
          <w:p>
            <w:r>
              <w:t>513.50</w:t>
            </w:r>
          </w:p>
        </w:tc>
        <w:tc>
          <w:tcPr>
            <w:tcW w:type="dxa" w:w="2160"/>
          </w:tcPr>
          <w:p>
            <w:r>
              <w:t>+4.88%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100.52</w:t>
            </w:r>
          </w:p>
        </w:tc>
        <w:tc>
          <w:tcPr>
            <w:tcW w:type="dxa" w:w="2160"/>
          </w:tcPr>
          <w:p>
            <w:r>
              <w:t>+1.47%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-47.34%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Multiple fan residuals persist with process deviation</w:t>
      </w:r>
    </w:p>
    <w:p>
      <w:r>
        <w:rPr>
          <w:b/>
        </w:rPr>
        <w:t>2024-03-21 07:55:00</w:t>
      </w:r>
      <w:r>
        <w:t xml:space="preserve"> — Load 87.7% MCR</w:t>
      </w:r>
    </w:p>
    <w:p>
      <w:r>
        <w:t>&gt; Higher-confidence fan/system performance issue. &gt; &gt; Required confirmation (doc, unmodified): Escalate for cross-cluster and field verification.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deviation %</w:t>
            </w:r>
          </w:p>
        </w:tc>
      </w:tr>
      <w:tr>
        <w:tc>
          <w:tcPr>
            <w:tcW w:type="dxa" w:w="2160"/>
          </w:tcPr>
          <w:p>
            <w:r>
              <w:t>Fan A RPM</w:t>
            </w:r>
          </w:p>
        </w:tc>
        <w:tc>
          <w:tcPr>
            <w:tcW w:type="dxa" w:w="2160"/>
          </w:tcPr>
          <w:p>
            <w:r>
              <w:t>997.65</w:t>
            </w:r>
          </w:p>
        </w:tc>
        <w:tc>
          <w:tcPr>
            <w:tcW w:type="dxa" w:w="2160"/>
          </w:tcPr>
          <w:p>
            <w:r>
              <w:t>1146.54</w:t>
            </w:r>
          </w:p>
        </w:tc>
        <w:tc>
          <w:tcPr>
            <w:tcW w:type="dxa" w:w="2160"/>
          </w:tcPr>
          <w:p>
            <w:r>
              <w:t>-12.99%</w:t>
            </w:r>
          </w:p>
        </w:tc>
      </w:tr>
      <w:tr>
        <w:tc>
          <w:tcPr>
            <w:tcW w:type="dxa" w:w="2160"/>
          </w:tcPr>
          <w:p>
            <w:r>
              <w:t>Fan A Current</w:t>
            </w:r>
          </w:p>
        </w:tc>
        <w:tc>
          <w:tcPr>
            <w:tcW w:type="dxa" w:w="2160"/>
          </w:tcPr>
          <w:p>
            <w:r>
              <w:t>157.28</w:t>
            </w:r>
          </w:p>
        </w:tc>
        <w:tc>
          <w:tcPr>
            <w:tcW w:type="dxa" w:w="2160"/>
          </w:tcPr>
          <w:p>
            <w:r>
              <w:t>317.18</w:t>
            </w:r>
          </w:p>
        </w:tc>
        <w:tc>
          <w:tcPr>
            <w:tcW w:type="dxa" w:w="2160"/>
          </w:tcPr>
          <w:p>
            <w:r>
              <w:t>-50.41%</w:t>
            </w:r>
          </w:p>
        </w:tc>
      </w:tr>
      <w:tr>
        <w:tc>
          <w:tcPr>
            <w:tcW w:type="dxa" w:w="2160"/>
          </w:tcPr>
          <w:p>
            <w:r>
              <w:t>Fan A IGV FB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100.44</w:t>
            </w:r>
          </w:p>
        </w:tc>
        <w:tc>
          <w:tcPr>
            <w:tcW w:type="dxa" w:w="2160"/>
          </w:tcPr>
          <w:p>
            <w:r>
              <w:t>-100.00%</w:t>
            </w:r>
          </w:p>
        </w:tc>
      </w:tr>
      <w:tr>
        <w:tc>
          <w:tcPr>
            <w:tcW w:type="dxa" w:w="2160"/>
          </w:tcPr>
          <w:p>
            <w:r>
              <w:t>Fan B RPM</w:t>
            </w:r>
          </w:p>
        </w:tc>
        <w:tc>
          <w:tcPr>
            <w:tcW w:type="dxa" w:w="2160"/>
          </w:tcPr>
          <w:p>
            <w:r>
              <w:t>1289.77</w:t>
            </w:r>
          </w:p>
        </w:tc>
        <w:tc>
          <w:tcPr>
            <w:tcW w:type="dxa" w:w="2160"/>
          </w:tcPr>
          <w:p>
            <w:r>
              <w:t>1152.05</w:t>
            </w:r>
          </w:p>
        </w:tc>
        <w:tc>
          <w:tcPr>
            <w:tcW w:type="dxa" w:w="2160"/>
          </w:tcPr>
          <w:p>
            <w:r>
              <w:t>+11.95%</w:t>
            </w:r>
          </w:p>
        </w:tc>
      </w:tr>
      <w:tr>
        <w:tc>
          <w:tcPr>
            <w:tcW w:type="dxa" w:w="2160"/>
          </w:tcPr>
          <w:p>
            <w:r>
              <w:t>Fan B Current</w:t>
            </w:r>
          </w:p>
        </w:tc>
        <w:tc>
          <w:tcPr>
            <w:tcW w:type="dxa" w:w="2160"/>
          </w:tcPr>
          <w:p>
            <w:r>
              <w:t>854.01</w:t>
            </w:r>
          </w:p>
        </w:tc>
        <w:tc>
          <w:tcPr>
            <w:tcW w:type="dxa" w:w="2160"/>
          </w:tcPr>
          <w:p>
            <w:r>
              <w:t>513.50</w:t>
            </w:r>
          </w:p>
        </w:tc>
        <w:tc>
          <w:tcPr>
            <w:tcW w:type="dxa" w:w="2160"/>
          </w:tcPr>
          <w:p>
            <w:r>
              <w:t>+66.31%</w:t>
            </w:r>
          </w:p>
        </w:tc>
      </w:tr>
      <w:tr>
        <w:tc>
          <w:tcPr>
            <w:tcW w:type="dxa" w:w="2160"/>
          </w:tcPr>
          <w:p>
            <w:r>
              <w:t>Fan B IGV FB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100.53</w:t>
            </w:r>
          </w:p>
        </w:tc>
        <w:tc>
          <w:tcPr>
            <w:tcW w:type="dxa" w:w="2160"/>
          </w:tcPr>
          <w:p>
            <w:r>
              <w:t>+1.46%</w:t>
            </w:r>
          </w:p>
        </w:tc>
      </w:tr>
      <w:tr>
        <w:tc>
          <w:tcPr>
            <w:tcW w:type="dxa" w:w="2160"/>
          </w:tcPr>
          <w:p>
            <w:r>
              <w:t>A/B Current Imbalance</w:t>
            </w:r>
          </w:p>
        </w:tc>
        <w:tc>
          <w:tcPr>
            <w:tcW w:type="dxa" w:w="2160"/>
          </w:tcPr>
          <w:p>
            <w:r>
              <w:t>-137.79%</w:t>
            </w:r>
          </w:p>
        </w:tc>
        <w:tc>
          <w:tcPr>
            <w:tcW w:type="dxa" w:w="2160"/>
          </w:tcPr>
          <w:p>
            <w:r>
              <w:t>baseline -47.21% ± 0.62%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 Fan B IGV — investigated finding, not taken at face value</w:t>
      </w:r>
    </w:p>
    <w:p>
      <w:r>
        <w:t>Fan B IGV's outlier rate in section 3 is high. Investigated before writing it up, same discipline as Cluster 1's stale-threshold finding — this is NOT simply "Fan B's IGV control is unhealthy 58% of the time."</w:t>
      </w:r>
    </w:p>
    <w:p>
      <w:r>
        <w:rPr>
          <w:b/>
        </w:rPr>
        <w:t>Root cause, evidenced:</w:t>
      </w:r>
    </w:p>
    <w:p>
      <w:r>
        <w:t xml:space="preserve">1. Training-side: the shared </w:t>
      </w:r>
      <w:r>
        <w:rPr>
          <w:rFonts w:ascii="Consolas" w:hAnsi="Consolas"/>
          <w:sz w:val="20"/>
        </w:rPr>
        <w:t>shared/data_quality.py</w:t>
      </w:r>
      <w:r>
        <w:t xml:space="preserve"> stale-streak exclusion (same detector Cluster 1 already uses, same </w:t>
      </w:r>
      <w:r>
        <w:rPr>
          <w:rFonts w:ascii="Consolas" w:hAnsi="Consolas"/>
          <w:sz w:val="20"/>
        </w:rPr>
        <w:t>TRAINING_STALE_STREAK_ROWS=12</w:t>
      </w:r>
      <w:r>
        <w:t xml:space="preserve"> threshold that was originally calibrated for STACK_TEMPERATURE/FEGT's whole-degree quantization) excludes 17,829/18,279 (97.5%) of Fan A's and 15,321/18,279 (83.8%) of Fan B's IGV-FB training rows — because both fans' IGV feedback sits perfectly constant for weeks at a time (a genuine control characteristic, not a sensor fault), tripping the same "frozen value" rule. This leaves a thin, non-uniformly-distributed training sample.</w:t>
      </w:r>
    </w:p>
    <w:p>
      <w:r>
        <w:t>2. Test-side: Fan B's IGV FB is a coarse, whole-integer-percent signal that makes discrete MONTHLY STEP CHANGES, not continuous variation: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101.96</w:t>
            </w:r>
          </w:p>
        </w:tc>
        <w:tc>
          <w:tcPr>
            <w:tcW w:type="dxa" w:w="2160"/>
          </w:tcPr>
          <w:p>
            <w:r>
              <w:t>1.93</w:t>
            </w:r>
          </w:p>
        </w:tc>
        <w:tc>
          <w:tcPr>
            <w:tcW w:type="dxa" w:w="2160"/>
          </w:tcPr>
          <w:p>
            <w:r>
              <w:t>5,306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6,912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102.00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100.74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6,911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101.00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100.38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6,851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100.69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7,142</w:t>
            </w:r>
          </w:p>
        </w:tc>
      </w:tr>
    </w:tbl>
    <w:p/>
    <w:p>
      <w:r>
        <w:t xml:space="preserve">(month 1 has 0 rows in the test window for this column — it falls inside the confirmed 2024-01-18 to 2024-02-11 null gap, see cluster2_config.yaml's </w:t>
      </w:r>
      <w:r>
        <w:rPr>
          <w:rFonts w:ascii="Consolas" w:hAnsi="Consolas"/>
          <w:sz w:val="20"/>
        </w:rPr>
        <w:t>PA_FAN_B_IGV_FB</w:t>
      </w:r>
      <w:r>
        <w:t xml:space="preserve"> note.)</w:t>
      </w:r>
    </w:p>
    <w:p>
      <w:r>
        <w:t>Flow does not correlate with these month-to-month steps (same reason Load doesn't explain Flow, section 1.3), so a Flow-binned baseline — trained on a thin, quality-filtered slice that likely reflects only 1-2 of these months — does not generalize to the other months' different discrete IGV settings. The result is a real, evidenced high outlier rate, but its cause is a baseline-generalization limitation (thin/unrepresentative training data for a step-changing signal), not necessarily 58% of the year showing genuine IGV control abnormality. Flagged as a known limitation (section 6), not silently corrected — a time-aware (monthly or seasonal) baseline dimension, analogous to Cluster 1's own monthly-stratification fix for SA/TA seasonal drift, is the most likely real fix, left for a future revision.</w:t>
      </w:r>
    </w:p>
    <w:p>
      <w:pPr>
        <w:pStyle w:val="Heading2"/>
      </w:pPr>
      <w:r>
        <w:t>6. Open items for Punarbasu / Awes</w:t>
      </w:r>
    </w:p>
    <w:p>
      <w:r>
        <w:t xml:space="preserve">Doc's own two queries — </w:t>
      </w:r>
      <w:r>
        <w:rPr>
          <w:b/>
        </w:rPr>
        <w:t>already on the consolidated cross-module list</w:t>
      </w:r>
      <w:r>
        <w:t xml:space="preserve"> (Module 2/PAI-S02 raised the same coal-composition/fuel-quality dependency question; not asked twice here, just noted as overlapping):</w:t>
      </w:r>
    </w:p>
    <w:p>
      <w:pPr>
        <w:pStyle w:val="ListBullet"/>
      </w:pPr>
      <w:r>
        <w:rPr>
          <w:i/>
        </w:rPr>
        <w:t>"If due to fuel change, if the air supply is more than usual needed for the same load how alert will be reliable for high RPM."</w:t>
      </w:r>
      <w:r>
        <w:t xml:space="preserve"> (doc section 2)</w:t>
      </w:r>
    </w:p>
    <w:p>
      <w:pPr>
        <w:pStyle w:val="ListBullet"/>
      </w:pPr>
      <w:r>
        <w:rPr>
          <w:i/>
        </w:rPr>
        <w:t>"Fuel GCV also be the reference [variable]?"</w:t>
      </w:r>
      <w:r>
        <w:t xml:space="preserve"> (doc section 2, Boiler Demand and Required Fan Duty)</w:t>
      </w:r>
    </w:p>
    <w:p>
      <w:r>
        <w:t>New items from this cluster's own build:</w:t>
      </w:r>
    </w:p>
    <w:p>
      <w:pPr>
        <w:pStyle w:val="ListBullet"/>
      </w:pPr>
      <w:r>
        <w:rPr>
          <w:b/>
        </w:rPr>
        <w:t>PA Fan Head</w:t>
      </w:r>
      <w:r>
        <w:t xml:space="preserve">: confirm no real per-fan tag exists anywhere else in the historian (checked exhaustively this pass, found none) and/or confirm whether </w:t>
      </w:r>
      <w:r>
        <w:rPr>
          <w:rFonts w:ascii="Consolas" w:hAnsi="Consolas"/>
          <w:sz w:val="20"/>
        </w:rPr>
        <w:t>PA PR AT AIR BOX A/B</w:t>
      </w:r>
      <w:r>
        <w:t xml:space="preserve"> is a valid Head substitute for Fan A/B respectively (see section 1.1) — resolving this re-enables the doc's full 3-input formula.</w:t>
      </w:r>
    </w:p>
    <w:p>
      <w:pPr>
        <w:pStyle w:val="ListBullet"/>
      </w:pPr>
      <w:r>
        <w:rPr>
          <w:b/>
        </w:rPr>
        <w:t>A/B Current structural offset</w:t>
      </w:r>
      <w:r>
        <w:t>: why do Fan A and Fan B draw ~47% different current at matched RPM and comparable Flow (section 1.5)? Different motor/fan capacity rating, or different current-transformer scaling between the two fans' instrumentation? Affects whether the learned -47% baseline is "normal for these two different fans" or masks a genuine, permanent imbalance that's simply never been absent from the data to compare against.</w:t>
      </w:r>
    </w:p>
    <w:p>
      <w:pPr>
        <w:pStyle w:val="ListBullet"/>
      </w:pPr>
      <w:r>
        <w:rPr>
          <w:b/>
        </w:rPr>
        <w:t>PA PR AT AIR BOX C</w:t>
      </w:r>
      <w:r>
        <w:t>: no confirmed correspondence to either fan at all — what is this third zone/point?</w:t>
      </w:r>
    </w:p>
    <w:p>
      <w:pPr>
        <w:pStyle w:val="Heading2"/>
      </w:pPr>
      <w:r>
        <w:t>7. Known limitations — not implemented in this phase</w:t>
      </w:r>
    </w:p>
    <w:p>
      <w:pPr>
        <w:pStyle w:val="ListBullet"/>
      </w:pPr>
      <w:r>
        <w:rPr>
          <w:b/>
        </w:rPr>
        <w:t>Persistence / alarm timing not implemented.</w:t>
      </w:r>
      <w:r>
        <w:t xml:space="preserve"> The doc explicitly wants alarm logic to combine "residual magnitude, persistence, data quality and supporting variables rather than trigger on a single instantaneous excursion," and imbalance flagged "for a specified persistence time." This report scores each row independently — no rolling-persistence state machine. </w:t>
      </w:r>
      <w:r>
        <w:rPr>
          <w:rFonts w:ascii="Consolas" w:hAnsi="Consolas"/>
          <w:sz w:val="20"/>
        </w:rPr>
        <w:t>persistence.minutes</w:t>
      </w:r>
      <w:r>
        <w:t xml:space="preserve"> in cluster2_config.yaml is a placeholder for a future revision, same scope limitation Cluster 1's report already carries for its own A/B trend-analysis gap.</w:t>
      </w:r>
    </w:p>
    <w:p>
      <w:pPr>
        <w:pStyle w:val="ListBullet"/>
      </w:pPr>
      <w:r>
        <w:rPr>
          <w:b/>
        </w:rPr>
        <w:t>Cross-cluster confirmation is out of scope.</w:t>
      </w:r>
      <w:r>
        <w:t xml:space="preserve"> The doc's own "Model boundary" note and Validation Framework's "Cross-cluster" row both expect PA pressure/flow, draft, and downstream air-distribution evidence from Clusters 3/5/8/11 to confirm an abnormal fan residual. None of those clusters exist yet — every </w:t>
      </w:r>
      <w:r>
        <w:rPr>
          <w:rFonts w:ascii="Consolas" w:hAnsi="Consolas"/>
          <w:sz w:val="20"/>
        </w:rPr>
        <w:t>required_confirmation</w:t>
      </w:r>
      <w:r>
        <w:t xml:space="preserve"> string in this report is the doc's own text, unmodified; this validator does not attempt that confirmation itself.</w:t>
      </w:r>
    </w:p>
    <w:p>
      <w:pPr>
        <w:pStyle w:val="ListBullet"/>
      </w:pPr>
      <w:r>
        <w:rPr>
          <w:b/>
        </w:rPr>
        <w:t>Fan B IGV's high outlier rate is a baseline-generalization artifact on a thin, quality-filtered training sample for a step-changing signal</w:t>
      </w:r>
      <w:r>
        <w:t>, not a confirmed real control-health finding — see section 5. Believed fixable with a time-aware baseline dimension in a future revision, not attempted this pass.</w:t>
      </w:r>
    </w:p>
    <w:p>
      <w:pPr>
        <w:pStyle w:val="ListBullet"/>
      </w:pPr>
      <w:r>
        <w:rPr>
          <w:b/>
        </w:rPr>
        <w:t>Quantile-based Flow bins, band_width_std, comparable-duty tolerance, and the fan-running RPM threshold are all configurable defaults or empirically-chosen values, not doc-specified numbers</w:t>
      </w:r>
      <w:r>
        <w:t xml:space="preserve"> (only the four calculated-indicator formulas and the A/B-comparability guard's </w:t>
      </w:r>
      <w:r>
        <w:rPr>
          <w:i/>
        </w:rPr>
        <w:t>existence</w:t>
      </w:r>
      <w:r>
        <w:t xml:space="preserve"> are doc-verbatim) — see </w:t>
      </w:r>
      <w:r>
        <w:rPr>
          <w:rFonts w:ascii="Consolas" w:hAnsi="Consolas"/>
          <w:sz w:val="20"/>
        </w:rPr>
        <w:t>clusters/cluster2_config.yaml</w:t>
      </w:r>
      <w:r>
        <w:t xml:space="preserve"> for every tunable field and its rationale.</w:t>
      </w:r>
    </w:p>
    <w:p>
      <w:pPr>
        <w:pStyle w:val="ListBullet"/>
      </w:pPr>
      <w:r>
        <w:rPr>
          <w:b/>
        </w:rPr>
        <w:t>Single fan-configuration baseline only</w:t>
      </w:r>
      <w:r>
        <w:t xml:space="preserve"> (both-running) — correct for this plant's actual 2024 operating history (section 1.4), but means the one real Fan-A-stop event has no dedicated baseline to be scored against; it correctly shows as </w:t>
      </w:r>
      <w:r>
        <w:rPr>
          <w:rFonts w:ascii="Consolas" w:hAnsi="Consolas"/>
          <w:sz w:val="20"/>
        </w:rPr>
        <w:t>unknown</w:t>
      </w:r>
      <w:r>
        <w:t>/large-residual rather than being forced through the both-running model.</w:t>
      </w:r>
    </w:p>
    <w:p>
      <w:pPr>
        <w:pStyle w:val="ListBullet"/>
      </w:pPr>
      <w:r>
        <w:rPr>
          <w:b/>
        </w:rPr>
        <w:t>Not wired into `server.py` or the frontend</w:t>
      </w:r>
      <w:r>
        <w:t xml:space="preserve"> — by design, per this phase's scope, same as Cluster 1.</w:t>
      </w:r>
    </w:p>
    <w:p>
      <w:pPr>
        <w:pStyle w:val="Heading2"/>
      </w:pPr>
      <w:r>
        <w:t>8. Conclusion</w:t>
      </w:r>
    </w:p>
    <w:p>
      <w:r>
        <w:t xml:space="preserve">Cluster 2 provides a Flow-referenced (not demand/Load-referenced, see section 1.3) normal-behaviour model for PA Fan-A and PA Fan-B control/electrical response, scored against a STEADY-state, fan-running-only, monthly-stratified baseline never exposed to the 73,427-row test window it's scored against. Across all 8 relationships, 88.8% of (relationship x row) combinations score </w:t>
      </w:r>
      <w:r>
        <w:rPr>
          <w:rFonts w:ascii="Consolas" w:hAnsi="Consolas"/>
          <w:sz w:val="20"/>
        </w:rPr>
        <w:t>consistent</w:t>
      </w:r>
      <w:r>
        <w:t>. All six of the doc's own residual-interpretation patterns (section 6 of the doc) genuinely occur in this plant's real 2024 data, including a coherent, physically-sensible real event (2024-03-21: Fan A stopping while Fan B's RPM/current visibly ramp up to compensate — see section 4's "Multiple fan residuals" example).</w:t>
      </w:r>
    </w:p>
    <w:p>
      <w:r>
        <w:rPr>
          <w:b/>
        </w:rPr>
        <w:t>Stated plainly</w:t>
      </w:r>
      <w:r>
        <w:t xml:space="preserve">: because Head is unavailable and Load doesn't explain Flow here, every "consistent"/"outlier" result above answers </w:t>
      </w:r>
      <w:r>
        <w:rPr>
          <w:i/>
        </w:rPr>
        <w:t>whether a fan's RPM/Current/IGV is internally consistent with its own measured Flow</w:t>
      </w:r>
      <w:r>
        <w:t xml:space="preserve"> — not </w:t>
      </w:r>
      <w:r>
        <w:rPr>
          <w:i/>
        </w:rPr>
        <w:t>whether the fan is correctly responding to boiler demand</w:t>
      </w:r>
      <w:r>
        <w:t xml:space="preserve">, which is what the doc's original </w:t>
      </w:r>
      <w:r>
        <w:rPr>
          <w:rFonts w:ascii="Consolas" w:hAnsi="Consolas"/>
          <w:sz w:val="20"/>
        </w:rPr>
        <w:t>f(Fan Flow, Fan Head, Steam Flow)</w:t>
      </w:r>
      <w:r>
        <w:t xml:space="preserve"> framing implied. Both are legitimate, useful questions, but they are not the same question, and a </w:t>
      </w:r>
      <w:r>
        <w:rPr>
          <w:rFonts w:ascii="Consolas" w:hAnsi="Consolas"/>
          <w:sz w:val="20"/>
        </w:rPr>
        <w:t>consistent</w:t>
      </w:r>
      <w:r>
        <w:t xml:space="preserve"> result here does not confirm the fan is tracking demand correctly — only that it's behaving as its own history at this Flow would predict.</w:t>
      </w:r>
    </w:p>
    <w:p>
      <w:r>
        <w:t>The most consequential finding from building this cluster wasn't a fan health signal — it was two places where applying the doc's methodology literally, without checking real data first, would have produced a broken or misleading model: Load does not explain Fan Flow in this plant's real 2024 operating envelope (section 1.3), and the doc's own A/B imbalance formula would flag nearly every healthy row as an outlier without a learned, non-zero baseline (section 1.5). Root-cause assignment for any flagged pattern still requires the data-quality, operating-state, PA pressure/flow, and maintenance evidence the doc itself calls for — this cluster flags deterioration or control inconsistency early; it does not diagnose it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 2 — PA Fan Performance — Validation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