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F99" w:rsidRDefault="00A82DA3" w:rsidP="00D4686C">
      <w:pPr>
        <w:pStyle w:val="Heading1"/>
        <w:ind w:left="1440" w:firstLine="720"/>
        <w:rPr>
          <w:rStyle w:val="apple-converted-space"/>
          <w:color w:val="000000"/>
          <w:sz w:val="27"/>
          <w:szCs w:val="27"/>
        </w:rPr>
      </w:pPr>
      <w:r>
        <w:t xml:space="preserve">EECS 700 FPGA </w:t>
      </w:r>
      <w:r w:rsidRPr="00A82DA3">
        <w:rPr>
          <w:sz w:val="27"/>
          <w:szCs w:val="27"/>
        </w:rPr>
        <w:t>PRJ01:</w:t>
      </w:r>
      <w:r>
        <w:rPr>
          <w:rStyle w:val="apple-converted-space"/>
          <w:color w:val="000000"/>
          <w:sz w:val="27"/>
          <w:szCs w:val="27"/>
        </w:rPr>
        <w:t> </w:t>
      </w:r>
      <w:r>
        <w:rPr>
          <w:color w:val="000000"/>
          <w:sz w:val="27"/>
          <w:szCs w:val="27"/>
        </w:rPr>
        <w:t>Synthesizer</w:t>
      </w:r>
      <w:r>
        <w:rPr>
          <w:rStyle w:val="apple-converted-space"/>
          <w:color w:val="000000"/>
          <w:sz w:val="27"/>
          <w:szCs w:val="27"/>
        </w:rPr>
        <w:t> </w:t>
      </w:r>
    </w:p>
    <w:p w:rsidR="00D4686C" w:rsidRPr="00D4686C" w:rsidRDefault="00D4686C" w:rsidP="00D4686C">
      <w:r>
        <w:tab/>
      </w:r>
      <w:r>
        <w:tab/>
      </w:r>
      <w:r>
        <w:tab/>
      </w:r>
      <w:r>
        <w:tab/>
      </w:r>
      <w:r>
        <w:tab/>
      </w:r>
      <w:r>
        <w:tab/>
      </w:r>
      <w:r>
        <w:tab/>
      </w:r>
      <w:r>
        <w:tab/>
      </w:r>
      <w:r>
        <w:tab/>
        <w:t>-Manjish Adhikari (2870257)</w:t>
      </w:r>
    </w:p>
    <w:p w:rsidR="00A82DA3" w:rsidRDefault="00A82DA3" w:rsidP="00A82DA3">
      <w:bookmarkStart w:id="0" w:name="_GoBack"/>
      <w:bookmarkEnd w:id="0"/>
    </w:p>
    <w:p w:rsidR="00A82DA3" w:rsidRDefault="00A82DA3" w:rsidP="00A82DA3">
      <w:r>
        <w:tab/>
      </w:r>
      <w:r>
        <w:tab/>
        <w:t xml:space="preserve">This design was similar to the knight rider project in certain aspects so the real challenge was to design the </w:t>
      </w:r>
      <w:proofErr w:type="spellStart"/>
      <w:r>
        <w:t>pdm</w:t>
      </w:r>
      <w:proofErr w:type="spellEnd"/>
      <w:r>
        <w:t xml:space="preserve"> which took a lot of time. Apart from that the initialization file for the memory was not provided in the beginning thus delaying the designing of the synthesizer. Also unclear explanation about the design requirements in v1 of the project created design difficulties.</w:t>
      </w:r>
    </w:p>
    <w:p w:rsidR="00A82DA3" w:rsidRDefault="00A82DA3" w:rsidP="00A82DA3">
      <w:r>
        <w:t>When the issue about the design requirements was clear there wasn’t enough time to check each and every module and merge them together,</w:t>
      </w:r>
      <w:r w:rsidR="00D4686C">
        <w:t xml:space="preserve"> </w:t>
      </w:r>
      <w:proofErr w:type="gramStart"/>
      <w:r w:rsidR="00D4686C">
        <w:t>The</w:t>
      </w:r>
      <w:proofErr w:type="gramEnd"/>
      <w:r w:rsidR="00D4686C">
        <w:t xml:space="preserve"> synthesis and implementation</w:t>
      </w:r>
      <w:r w:rsidR="00F939A7">
        <w:t xml:space="preserve"> also</w:t>
      </w:r>
      <w:r w:rsidR="00D4686C">
        <w:t xml:space="preserve"> took a lot of time.</w:t>
      </w:r>
    </w:p>
    <w:p w:rsidR="00D4686C" w:rsidRDefault="00A82DA3">
      <w:r>
        <w:t xml:space="preserve">In part2b playlist, composing the song notes was difficult because of the unfamiliarity with musical </w:t>
      </w:r>
      <w:proofErr w:type="gramStart"/>
      <w:r>
        <w:t>signs  such</w:t>
      </w:r>
      <w:proofErr w:type="gramEnd"/>
      <w:r>
        <w:t xml:space="preserve"> as half notes quarter notes etc. so just created a random tone lis</w:t>
      </w:r>
      <w:r w:rsidR="00D4686C">
        <w:t>t for this part with 64 ×8 ro</w:t>
      </w:r>
      <w:r w:rsidR="00F939A7">
        <w:t>m.</w:t>
      </w:r>
    </w:p>
    <w:tbl>
      <w:tblPr>
        <w:tblStyle w:val="PlainTable1"/>
        <w:tblpPr w:leftFromText="180" w:rightFromText="180" w:vertAnchor="page" w:horzAnchor="margin" w:tblpY="6466"/>
        <w:tblW w:w="0" w:type="auto"/>
        <w:tblLook w:val="04A0" w:firstRow="1" w:lastRow="0" w:firstColumn="1" w:lastColumn="0" w:noHBand="0" w:noVBand="1"/>
      </w:tblPr>
      <w:tblGrid>
        <w:gridCol w:w="1355"/>
        <w:gridCol w:w="1494"/>
        <w:gridCol w:w="1650"/>
        <w:gridCol w:w="1558"/>
        <w:gridCol w:w="1579"/>
        <w:gridCol w:w="1714"/>
      </w:tblGrid>
      <w:tr w:rsidR="00D4686C" w:rsidTr="00D46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Tone</w:t>
            </w:r>
          </w:p>
        </w:tc>
        <w:tc>
          <w:tcPr>
            <w:tcW w:w="1494" w:type="dxa"/>
          </w:tcPr>
          <w:p w:rsidR="00D4686C" w:rsidRDefault="00D4686C" w:rsidP="00D4686C">
            <w:pPr>
              <w:cnfStyle w:val="100000000000" w:firstRow="1" w:lastRow="0" w:firstColumn="0" w:lastColumn="0" w:oddVBand="0" w:evenVBand="0" w:oddHBand="0" w:evenHBand="0" w:firstRowFirstColumn="0" w:firstRowLastColumn="0" w:lastRowFirstColumn="0" w:lastRowLastColumn="0"/>
            </w:pPr>
            <w:r>
              <w:t>Note</w:t>
            </w:r>
          </w:p>
        </w:tc>
        <w:tc>
          <w:tcPr>
            <w:tcW w:w="1650" w:type="dxa"/>
          </w:tcPr>
          <w:p w:rsidR="00D4686C" w:rsidRDefault="00D4686C" w:rsidP="00D4686C">
            <w:pPr>
              <w:cnfStyle w:val="100000000000" w:firstRow="1" w:lastRow="0" w:firstColumn="0" w:lastColumn="0" w:oddVBand="0" w:evenVBand="0" w:oddHBand="0" w:evenHBand="0" w:firstRowFirstColumn="0" w:firstRowLastColumn="0" w:lastRowFirstColumn="0" w:lastRowLastColumn="0"/>
            </w:pPr>
            <w:r>
              <w:t>Frequency</w:t>
            </w:r>
          </w:p>
          <w:p w:rsidR="00D4686C" w:rsidRDefault="00D4686C" w:rsidP="00D4686C">
            <w:pPr>
              <w:cnfStyle w:val="100000000000" w:firstRow="1" w:lastRow="0" w:firstColumn="0" w:lastColumn="0" w:oddVBand="0" w:evenVBand="0" w:oddHBand="0" w:evenHBand="0" w:firstRowFirstColumn="0" w:firstRowLastColumn="0" w:lastRowFirstColumn="0" w:lastRowLastColumn="0"/>
            </w:pPr>
            <w:r>
              <w:t>(HZ)</w:t>
            </w:r>
          </w:p>
        </w:tc>
        <w:tc>
          <w:tcPr>
            <w:tcW w:w="1558" w:type="dxa"/>
          </w:tcPr>
          <w:p w:rsidR="00D4686C" w:rsidRDefault="00D4686C" w:rsidP="00D4686C">
            <w:pPr>
              <w:cnfStyle w:val="100000000000" w:firstRow="1" w:lastRow="0" w:firstColumn="0" w:lastColumn="0" w:oddVBand="0" w:evenVBand="0" w:oddHBand="0" w:evenHBand="0" w:firstRowFirstColumn="0" w:firstRowLastColumn="0" w:lastRowFirstColumn="0" w:lastRowLastColumn="0"/>
            </w:pPr>
            <w:r>
              <w:t>Rate Divider</w:t>
            </w:r>
          </w:p>
          <w:p w:rsidR="00D4686C" w:rsidRDefault="00D4686C" w:rsidP="00D4686C">
            <w:pPr>
              <w:cnfStyle w:val="100000000000" w:firstRow="1" w:lastRow="0" w:firstColumn="0" w:lastColumn="0" w:oddVBand="0" w:evenVBand="0" w:oddHBand="0" w:evenHBand="0" w:firstRowFirstColumn="0" w:firstRowLastColumn="0" w:lastRowFirstColumn="0" w:lastRowLastColumn="0"/>
            </w:pPr>
            <w:r>
              <w:t>(</w:t>
            </w:r>
            <w:proofErr w:type="spellStart"/>
            <w:r>
              <w:t>freq</w:t>
            </w:r>
            <w:proofErr w:type="spellEnd"/>
            <w:r>
              <w:t xml:space="preserve"> in MHZ)</w:t>
            </w:r>
          </w:p>
        </w:tc>
        <w:tc>
          <w:tcPr>
            <w:tcW w:w="1579" w:type="dxa"/>
          </w:tcPr>
          <w:p w:rsidR="00D4686C" w:rsidRDefault="00D4686C" w:rsidP="00D4686C">
            <w:pPr>
              <w:cnfStyle w:val="100000000000" w:firstRow="1" w:lastRow="0" w:firstColumn="0" w:lastColumn="0" w:oddVBand="0" w:evenVBand="0" w:oddHBand="0" w:evenHBand="0" w:firstRowFirstColumn="0" w:firstRowLastColumn="0" w:lastRowFirstColumn="0" w:lastRowLastColumn="0"/>
            </w:pPr>
            <w:r>
              <w:t xml:space="preserve"> Error  (Hz)</w:t>
            </w:r>
          </w:p>
        </w:tc>
        <w:tc>
          <w:tcPr>
            <w:tcW w:w="1714" w:type="dxa"/>
          </w:tcPr>
          <w:p w:rsidR="00D4686C" w:rsidRDefault="00D4686C" w:rsidP="00D4686C">
            <w:pPr>
              <w:cnfStyle w:val="100000000000" w:firstRow="1" w:lastRow="0" w:firstColumn="0" w:lastColumn="0" w:oddVBand="0" w:evenVBand="0" w:oddHBand="0" w:evenHBand="0" w:firstRowFirstColumn="0" w:firstRowLastColumn="0" w:lastRowFirstColumn="0" w:lastRowLastColumn="0"/>
            </w:pPr>
            <w:proofErr w:type="spellStart"/>
            <w:r>
              <w:t>RateCounter</w:t>
            </w:r>
            <w:proofErr w:type="spellEnd"/>
            <w:r>
              <w:t xml:space="preserve"> Limit</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X</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0000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 xml:space="preserve"> -</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C</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0001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130.81</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2.1432</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0.948</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47</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D</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0010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146.83</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2.4057</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1.5082</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42</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E</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0011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164.81</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2.7002</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-0.1499</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37</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F</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0100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174.61</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2.8608</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0.2238</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35</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G</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0101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196.00</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3.2213</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-0.8876</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31</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A</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0110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220.00</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3.6045</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2.0173</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28</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B</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0111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246.94</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4.0459</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2.7994</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25</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C</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1000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261.63</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4.2685</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-3.7402</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23</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D</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1001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293.66</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4.8113</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3.0164</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21</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E</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1010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329.63</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5.4007</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8.3923</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19</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F</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1011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349.23</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5.7218</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-9.8003</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18</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G</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1100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392.00</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6.4225</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10.5303</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16</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A</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1101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440.00</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7.2090</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4.0346</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14</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B</w:t>
            </w:r>
          </w:p>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1110</w:t>
            </w: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493.88</w:t>
            </w: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8.0917</w:t>
            </w: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-14.7463</w:t>
            </w: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r>
              <w:t>12</w:t>
            </w:r>
          </w:p>
        </w:tc>
      </w:tr>
      <w:tr w:rsidR="00D4686C" w:rsidTr="00D4686C">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r>
              <w:t>C</w:t>
            </w:r>
          </w:p>
        </w:tc>
        <w:tc>
          <w:tcPr>
            <w:tcW w:w="149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1111</w:t>
            </w:r>
          </w:p>
        </w:tc>
        <w:tc>
          <w:tcPr>
            <w:tcW w:w="1650"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523.25</w:t>
            </w:r>
          </w:p>
        </w:tc>
        <w:tc>
          <w:tcPr>
            <w:tcW w:w="1558"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8.5729</w:t>
            </w:r>
          </w:p>
        </w:tc>
        <w:tc>
          <w:tcPr>
            <w:tcW w:w="1579"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-31.6137</w:t>
            </w:r>
          </w:p>
        </w:tc>
        <w:tc>
          <w:tcPr>
            <w:tcW w:w="1714" w:type="dxa"/>
          </w:tcPr>
          <w:p w:rsidR="00D4686C" w:rsidRDefault="00D4686C" w:rsidP="00D4686C">
            <w:pPr>
              <w:cnfStyle w:val="000000000000" w:firstRow="0" w:lastRow="0" w:firstColumn="0" w:lastColumn="0" w:oddVBand="0" w:evenVBand="0" w:oddHBand="0" w:evenHBand="0" w:firstRowFirstColumn="0" w:firstRowLastColumn="0" w:lastRowFirstColumn="0" w:lastRowLastColumn="0"/>
            </w:pPr>
            <w:r>
              <w:t>11</w:t>
            </w:r>
          </w:p>
        </w:tc>
      </w:tr>
      <w:tr w:rsidR="00D4686C" w:rsidTr="00D46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rsidR="00D4686C" w:rsidRDefault="00D4686C" w:rsidP="00D4686C"/>
        </w:tc>
        <w:tc>
          <w:tcPr>
            <w:tcW w:w="149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p>
        </w:tc>
        <w:tc>
          <w:tcPr>
            <w:tcW w:w="1650"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p>
        </w:tc>
        <w:tc>
          <w:tcPr>
            <w:tcW w:w="1558"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p>
        </w:tc>
        <w:tc>
          <w:tcPr>
            <w:tcW w:w="1579"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p>
        </w:tc>
        <w:tc>
          <w:tcPr>
            <w:tcW w:w="1714" w:type="dxa"/>
          </w:tcPr>
          <w:p w:rsidR="00D4686C" w:rsidRDefault="00D4686C" w:rsidP="00D4686C">
            <w:pPr>
              <w:cnfStyle w:val="000000100000" w:firstRow="0" w:lastRow="0" w:firstColumn="0" w:lastColumn="0" w:oddVBand="0" w:evenVBand="0" w:oddHBand="1" w:evenHBand="0" w:firstRowFirstColumn="0" w:firstRowLastColumn="0" w:lastRowFirstColumn="0" w:lastRowLastColumn="0"/>
            </w:pPr>
          </w:p>
        </w:tc>
      </w:tr>
    </w:tbl>
    <w:p w:rsidR="00D4686C" w:rsidRDefault="00D4686C">
      <w:r>
        <w:tab/>
      </w:r>
      <w:r>
        <w:tab/>
      </w:r>
      <w:r>
        <w:tab/>
      </w:r>
      <w:r>
        <w:tab/>
        <w:t>Direct Digital Synthesizer (DDS)</w:t>
      </w:r>
    </w:p>
    <w:p w:rsidR="00D4686C" w:rsidRDefault="00D4686C"/>
    <w:p w:rsidR="00D4686C" w:rsidRDefault="00D4686C">
      <w:r>
        <w:t xml:space="preserve">For the 523.25 Hz frequency and 493.88 </w:t>
      </w:r>
      <w:proofErr w:type="spellStart"/>
      <w:r>
        <w:t>Mhz</w:t>
      </w:r>
      <w:proofErr w:type="spellEnd"/>
      <w:r>
        <w:t xml:space="preserve"> tones, the rate counter limits were both 12 so changed the former to be 11 and later one to be 12 thus giving high error value.</w:t>
      </w:r>
    </w:p>
    <w:p w:rsidR="00D4686C" w:rsidRDefault="00D4686C">
      <w:r>
        <w:t>Apart from that</w:t>
      </w:r>
      <w:r w:rsidR="0026644F">
        <w:t>,</w:t>
      </w:r>
      <w:r>
        <w:t xml:space="preserve"> everything is working fine, only need proper song file to test it.</w:t>
      </w:r>
    </w:p>
    <w:p w:rsidR="00D4686C" w:rsidRDefault="00D4686C">
      <w:r>
        <w:t>Overall it was quite an interesting project particularly when it started to play “Hello” and pure tones.</w:t>
      </w:r>
      <w:r w:rsidR="00420AB5">
        <w:t xml:space="preserve"> Learnt a lot about </w:t>
      </w:r>
      <w:proofErr w:type="spellStart"/>
      <w:r w:rsidR="00420AB5">
        <w:t>vivado</w:t>
      </w:r>
      <w:proofErr w:type="spellEnd"/>
      <w:r w:rsidR="00420AB5">
        <w:t xml:space="preserve"> and </w:t>
      </w:r>
      <w:proofErr w:type="spellStart"/>
      <w:proofErr w:type="gramStart"/>
      <w:r w:rsidR="00420AB5">
        <w:t>vhdl</w:t>
      </w:r>
      <w:proofErr w:type="spellEnd"/>
      <w:r w:rsidR="00420AB5">
        <w:t xml:space="preserve"> </w:t>
      </w:r>
      <w:r w:rsidR="001657D3">
        <w:t xml:space="preserve"> </w:t>
      </w:r>
      <w:r w:rsidR="00420AB5">
        <w:t>and</w:t>
      </w:r>
      <w:proofErr w:type="gramEnd"/>
      <w:r w:rsidR="00420AB5">
        <w:t xml:space="preserve"> the importance of initialization and looking out all the possibilities. </w:t>
      </w:r>
    </w:p>
    <w:sectPr w:rsidR="00D4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C5"/>
    <w:rsid w:val="001657D3"/>
    <w:rsid w:val="0026644F"/>
    <w:rsid w:val="00420AB5"/>
    <w:rsid w:val="00691BC5"/>
    <w:rsid w:val="00A82DA3"/>
    <w:rsid w:val="00B15F99"/>
    <w:rsid w:val="00D4686C"/>
    <w:rsid w:val="00F9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BE34"/>
  <w15:chartTrackingRefBased/>
  <w15:docId w15:val="{12C17516-8B39-4B7F-98D4-86533A37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2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1B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A82DA3"/>
    <w:rPr>
      <w:color w:val="0000FF"/>
      <w:u w:val="single"/>
    </w:rPr>
  </w:style>
  <w:style w:type="character" w:customStyle="1" w:styleId="apple-converted-space">
    <w:name w:val="apple-converted-space"/>
    <w:basedOn w:val="DefaultParagraphFont"/>
    <w:rsid w:val="00A82DA3"/>
  </w:style>
  <w:style w:type="character" w:customStyle="1" w:styleId="Heading1Char">
    <w:name w:val="Heading 1 Char"/>
    <w:basedOn w:val="DefaultParagraphFont"/>
    <w:link w:val="Heading1"/>
    <w:uiPriority w:val="9"/>
    <w:rsid w:val="00A82D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Manjish</dc:creator>
  <cp:keywords/>
  <dc:description/>
  <cp:lastModifiedBy>Adhikari, Manjish</cp:lastModifiedBy>
  <cp:revision>4</cp:revision>
  <cp:lastPrinted>2017-03-10T20:08:00Z</cp:lastPrinted>
  <dcterms:created xsi:type="dcterms:W3CDTF">2017-03-10T19:33:00Z</dcterms:created>
  <dcterms:modified xsi:type="dcterms:W3CDTF">2017-03-10T21:11:00Z</dcterms:modified>
</cp:coreProperties>
</file>