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tcMar>
              <w:top w:w="0" w:type="dxa"/>
              <w:bottom w:w="30" w:type="dxa"/>
              <w:left w:w="0" w:type="dxa"/>
              <w:right w:w="0" w:type="dxa"/>
            </w:tcMar>
            <w:tcBorders>
              <w:top w:val="none"/>
              <w:bottom w:val="single" w:sz="16" w:space="0" w:color="0A2540"/>
              <w:left w:val="none"/>
              <w:right w:val="none"/>
            </w:tcBorders>
          </w:tcPr>
          <w:p>
            <w:pPr>
              <w:spacing w:before="0" w:after="40"/>
              <w:ind w:left="0" w:right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18226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lok-logo-complet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8226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ind w:left="0" w:right="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Commercial License: 1530948  •  Tax Registration Number (TRN): 100458291000003</w:t>
              <w:br/>
              <w:t>Dubai Investment Park / Al Quoz Industrial, Dubai, United Arab Emirates</w:t>
              <w:br/>
              <w:t>Tel / WhatsApp: +971 56 567 0169  •  Email: sales@prilok.com  •  Website: www.prilok.com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0A25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none"/>
              <w:bottom w:val="single" w:sz="10" w:space="0" w:color="D9822B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COMMERCIAL PRICE QUOTATION</w:t>
              <w:br/>
            </w:r>
            <w:r>
              <w:rPr>
                <w:rFonts w:ascii="Calibri" w:hAnsi="Calibri"/>
                <w:b/>
                <w:color w:val="D9822B"/>
                <w:sz w:val="16"/>
              </w:rPr>
              <w:t>OFFICIAL MATERIAL SCHEDULE &amp; SUPPLY OFFER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8" w:space="0" w:color="CBD5E1"/>
              <w:bottom w:val="single" w:sz="8" w:space="0" w:color="CBD5E1"/>
              <w:left w:val="single" w:sz="14" w:space="0" w:color="0A2540"/>
              <w:right w:val="single" w:sz="8" w:space="0" w:color="CBD5E1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0A2540"/>
                <w:sz w:val="17"/>
              </w:rPr>
              <w:t>QUOTATION PARTICULARS:</w:t>
            </w:r>
          </w:p>
          <w:p>
            <w:pPr>
              <w:spacing w:after="30" w:before="0"/>
            </w:pPr>
            <w:r>
              <w:rPr>
                <w:rFonts w:ascii="Calibri" w:hAnsi="Calibri"/>
                <w:b/>
                <w:color w:val="1E293B"/>
                <w:sz w:val="16"/>
              </w:rPr>
              <w:t xml:space="preserve">Quotation No:    </w:t>
            </w:r>
            <w:r>
              <w:rPr>
                <w:rFonts w:ascii="Calibri" w:hAnsi="Calibri"/>
                <w:b/>
                <w:color w:val="0A2540"/>
                <w:sz w:val="16"/>
              </w:rPr>
              <w:t>PRL-QT-2026-0842</w:t>
            </w:r>
          </w:p>
          <w:p>
            <w:pPr>
              <w:spacing w:after="30" w:before="0"/>
            </w:pPr>
            <w:r>
              <w:rPr>
                <w:rFonts w:ascii="Calibri" w:hAnsi="Calibri"/>
                <w:b/>
                <w:color w:val="1E293B"/>
                <w:sz w:val="16"/>
              </w:rPr>
              <w:t xml:space="preserve">Date of Issue:   </w:t>
            </w:r>
            <w:r>
              <w:rPr>
                <w:rFonts w:ascii="Calibri" w:hAnsi="Calibri"/>
                <w:color w:val="1E293B"/>
                <w:sz w:val="16"/>
              </w:rPr>
              <w:t>18 August 2026</w:t>
            </w:r>
          </w:p>
          <w:p>
            <w:pPr>
              <w:spacing w:after="30" w:before="0"/>
            </w:pPr>
            <w:r>
              <w:rPr>
                <w:rFonts w:ascii="Calibri" w:hAnsi="Calibri"/>
                <w:b/>
                <w:color w:val="1E293B"/>
                <w:sz w:val="16"/>
              </w:rPr>
              <w:t xml:space="preserve">Price Validity:  </w:t>
            </w:r>
            <w:r>
              <w:rPr>
                <w:rFonts w:ascii="Calibri" w:hAnsi="Calibri"/>
                <w:color w:val="1E293B"/>
                <w:sz w:val="16"/>
              </w:rPr>
              <w:t>30 Days (Until 17 Sep 2026)</w:t>
            </w:r>
          </w:p>
          <w:p>
            <w:pPr>
              <w:spacing w:after="30" w:before="0"/>
            </w:pPr>
            <w:r>
              <w:rPr>
                <w:rFonts w:ascii="Calibri" w:hAnsi="Calibri"/>
                <w:b/>
                <w:color w:val="1E293B"/>
                <w:sz w:val="16"/>
              </w:rPr>
              <w:t xml:space="preserve">Payment Terms:   </w:t>
            </w:r>
            <w:r>
              <w:rPr>
                <w:rFonts w:ascii="Calibri" w:hAnsi="Calibri"/>
                <w:color w:val="1E293B"/>
                <w:sz w:val="16"/>
              </w:rPr>
              <w:t>30 Days PDC / Bank Transfer</w:t>
            </w:r>
          </w:p>
          <w:p>
            <w:pPr>
              <w:spacing w:after="30" w:before="0"/>
            </w:pPr>
            <w:r>
              <w:rPr>
                <w:rFonts w:ascii="Calibri" w:hAnsi="Calibri"/>
                <w:b/>
                <w:color w:val="1E293B"/>
                <w:sz w:val="16"/>
              </w:rPr>
              <w:t xml:space="preserve">Delivery Time:   </w:t>
            </w:r>
            <w:r>
              <w:rPr>
                <w:rFonts w:ascii="Calibri" w:hAnsi="Calibri"/>
                <w:color w:val="1E293B"/>
                <w:sz w:val="16"/>
              </w:rPr>
              <w:t>Immediate Ex-Stock (3-5 Days)</w:t>
            </w:r>
          </w:p>
        </w:tc>
        <w:tc>
          <w:tcPr>
            <w:tcW w:type="dxa" w:w="516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8" w:space="0" w:color="CBD5E1"/>
              <w:bottom w:val="single" w:sz="8" w:space="0" w:color="CBD5E1"/>
              <w:left w:val="single" w:sz="14" w:space="0" w:color="D9822B"/>
              <w:right w:val="single" w:sz="8" w:space="0" w:color="CBD5E1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D9822B"/>
                <w:sz w:val="17"/>
              </w:rPr>
              <w:t>CLIENT &amp; PROJECT DETAILS:</w:t>
            </w:r>
          </w:p>
          <w:p>
            <w:pPr>
              <w:spacing w:after="30" w:before="0"/>
            </w:pPr>
            <w:r>
              <w:rPr>
                <w:rFonts w:ascii="Calibri" w:hAnsi="Calibri"/>
                <w:b/>
                <w:color w:val="1E293B"/>
                <w:sz w:val="16"/>
              </w:rPr>
              <w:t xml:space="preserve">Client / Buyer:    </w:t>
            </w:r>
            <w:r>
              <w:rPr>
                <w:rFonts w:ascii="Calibri" w:hAnsi="Calibri"/>
                <w:b/>
                <w:color w:val="1E293B"/>
                <w:sz w:val="16"/>
              </w:rPr>
              <w:t>AL HABTOOR ENGINEERING &amp; MEP LLC</w:t>
            </w:r>
          </w:p>
          <w:p>
            <w:pPr>
              <w:spacing w:after="30" w:before="0"/>
            </w:pPr>
            <w:r>
              <w:rPr>
                <w:rFonts w:ascii="Calibri" w:hAnsi="Calibri"/>
                <w:b/>
                <w:color w:val="1E293B"/>
                <w:sz w:val="16"/>
              </w:rPr>
              <w:t xml:space="preserve">Attention / Lead:  </w:t>
            </w:r>
            <w:r>
              <w:rPr>
                <w:rFonts w:ascii="Calibri" w:hAnsi="Calibri"/>
                <w:color w:val="1E293B"/>
                <w:sz w:val="16"/>
              </w:rPr>
              <w:t>Mr. Tarek Mansour (Procurement Manager)</w:t>
            </w:r>
          </w:p>
          <w:p>
            <w:pPr>
              <w:spacing w:after="30" w:before="0"/>
            </w:pPr>
            <w:r>
              <w:rPr>
                <w:rFonts w:ascii="Calibri" w:hAnsi="Calibri"/>
                <w:b/>
                <w:color w:val="1E293B"/>
                <w:sz w:val="16"/>
              </w:rPr>
              <w:t xml:space="preserve">Client TRN:        </w:t>
            </w:r>
            <w:r>
              <w:rPr>
                <w:rFonts w:ascii="Calibri" w:hAnsi="Calibri"/>
                <w:color w:val="1E293B"/>
                <w:sz w:val="16"/>
              </w:rPr>
              <w:t>100298412000003</w:t>
            </w:r>
          </w:p>
          <w:p>
            <w:pPr>
              <w:spacing w:after="30" w:before="0"/>
            </w:pPr>
            <w:r>
              <w:rPr>
                <w:rFonts w:ascii="Calibri" w:hAnsi="Calibri"/>
                <w:b/>
                <w:color w:val="1E293B"/>
                <w:sz w:val="16"/>
              </w:rPr>
              <w:t xml:space="preserve">Project Reference: </w:t>
            </w:r>
            <w:r>
              <w:rPr>
                <w:rFonts w:ascii="Calibri" w:hAnsi="Calibri"/>
                <w:color w:val="1E293B"/>
                <w:sz w:val="16"/>
              </w:rPr>
              <w:t>Luxury Tower 2 - MEP Package B</w:t>
            </w:r>
          </w:p>
          <w:p>
            <w:pPr>
              <w:spacing w:after="30" w:before="0"/>
            </w:pPr>
            <w:r>
              <w:rPr>
                <w:rFonts w:ascii="Calibri" w:hAnsi="Calibri"/>
                <w:b/>
                <w:color w:val="1E293B"/>
                <w:sz w:val="16"/>
              </w:rPr>
              <w:t xml:space="preserve">Delivery Location: </w:t>
            </w:r>
            <w:r>
              <w:rPr>
                <w:rFonts w:ascii="Calibri" w:hAnsi="Calibri"/>
                <w:color w:val="1E293B"/>
                <w:sz w:val="16"/>
              </w:rPr>
              <w:t>Business Bay, Dubai, UAE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1"/>
        <w:gridCol w:w="1291"/>
        <w:gridCol w:w="1291"/>
        <w:gridCol w:w="1291"/>
        <w:gridCol w:w="1291"/>
        <w:gridCol w:w="1291"/>
        <w:gridCol w:w="1291"/>
        <w:gridCol w:w="1291"/>
      </w:tblGrid>
      <w:tr>
        <w:tc>
          <w:tcPr>
            <w:tcW w:type="dxa" w:w="504"/>
            <w:shd w:fill="0A2540"/>
            <w:tcMar>
              <w:top w:w="70" w:type="dxa"/>
              <w:bottom w:w="70" w:type="dxa"/>
              <w:left w:w="45" w:type="dxa"/>
              <w:right w:w="45" w:type="dxa"/>
            </w:tcMar>
            <w:tcBorders>
              <w:top w:val="none"/>
              <w:bottom w:val="single" w:sz="12" w:space="0" w:color="D9822B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1224"/>
            <w:shd w:fill="0A2540"/>
            <w:tcMar>
              <w:top w:w="70" w:type="dxa"/>
              <w:bottom w:w="70" w:type="dxa"/>
              <w:left w:w="45" w:type="dxa"/>
              <w:right w:w="45" w:type="dxa"/>
            </w:tcMar>
            <w:tcBorders>
              <w:top w:val="none"/>
              <w:bottom w:val="single" w:sz="12" w:space="0" w:color="D9822B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SKU / Code</w:t>
            </w:r>
          </w:p>
        </w:tc>
        <w:tc>
          <w:tcPr>
            <w:tcW w:type="dxa" w:w="3672"/>
            <w:shd w:fill="0A2540"/>
            <w:tcMar>
              <w:top w:w="70" w:type="dxa"/>
              <w:bottom w:w="70" w:type="dxa"/>
              <w:left w:w="45" w:type="dxa"/>
              <w:right w:w="45" w:type="dxa"/>
            </w:tcMar>
            <w:tcBorders>
              <w:top w:val="none"/>
              <w:bottom w:val="single" w:sz="12" w:space="0" w:color="D9822B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Material Description &amp; Specifications</w:t>
            </w:r>
          </w:p>
        </w:tc>
        <w:tc>
          <w:tcPr>
            <w:tcW w:type="dxa" w:w="1368"/>
            <w:shd w:fill="0A2540"/>
            <w:tcMar>
              <w:top w:w="70" w:type="dxa"/>
              <w:bottom w:w="70" w:type="dxa"/>
              <w:left w:w="45" w:type="dxa"/>
              <w:right w:w="45" w:type="dxa"/>
            </w:tcMar>
            <w:tcBorders>
              <w:top w:val="none"/>
              <w:bottom w:val="single" w:sz="12" w:space="0" w:color="D9822B"/>
              <w:left w:val="none"/>
              <w:right w:val="none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Brand / Origin</w:t>
            </w:r>
          </w:p>
        </w:tc>
        <w:tc>
          <w:tcPr>
            <w:tcW w:type="dxa" w:w="720"/>
            <w:shd w:fill="0A2540"/>
            <w:tcMar>
              <w:top w:w="70" w:type="dxa"/>
              <w:bottom w:w="70" w:type="dxa"/>
              <w:left w:w="45" w:type="dxa"/>
              <w:right w:w="45" w:type="dxa"/>
            </w:tcMar>
            <w:tcBorders>
              <w:top w:val="none"/>
              <w:bottom w:val="single" w:sz="12" w:space="0" w:color="D9822B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Qty</w:t>
            </w:r>
          </w:p>
        </w:tc>
        <w:tc>
          <w:tcPr>
            <w:tcW w:type="dxa" w:w="720"/>
            <w:shd w:fill="0A2540"/>
            <w:tcMar>
              <w:top w:w="70" w:type="dxa"/>
              <w:bottom w:w="70" w:type="dxa"/>
              <w:left w:w="45" w:type="dxa"/>
              <w:right w:w="45" w:type="dxa"/>
            </w:tcMar>
            <w:tcBorders>
              <w:top w:val="none"/>
              <w:bottom w:val="single" w:sz="12" w:space="0" w:color="D9822B"/>
              <w:left w:val="none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Unit</w:t>
            </w:r>
          </w:p>
        </w:tc>
        <w:tc>
          <w:tcPr>
            <w:tcW w:type="dxa" w:w="1008"/>
            <w:shd w:fill="0A2540"/>
            <w:tcMar>
              <w:top w:w="70" w:type="dxa"/>
              <w:bottom w:w="70" w:type="dxa"/>
              <w:left w:w="45" w:type="dxa"/>
              <w:right w:w="45" w:type="dxa"/>
            </w:tcMar>
            <w:tcBorders>
              <w:top w:val="none"/>
              <w:bottom w:val="single" w:sz="12" w:space="0" w:color="D9822B"/>
              <w:left w:val="none"/>
              <w:right w:val="none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5"/>
              </w:rPr>
              <w:t>Unit Rate (AED)</w:t>
            </w:r>
          </w:p>
        </w:tc>
        <w:tc>
          <w:tcPr>
            <w:tcW w:type="dxa" w:w="1109"/>
            <w:shd w:fill="0A2540"/>
            <w:tcMar>
              <w:top w:w="70" w:type="dxa"/>
              <w:bottom w:w="70" w:type="dxa"/>
              <w:left w:w="45" w:type="dxa"/>
              <w:right w:w="45" w:type="dxa"/>
            </w:tcMar>
            <w:tcBorders>
              <w:top w:val="none"/>
              <w:bottom w:val="single" w:sz="12" w:space="0" w:color="D9822B"/>
              <w:left w:val="none"/>
              <w:right w:val="none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5"/>
              </w:rPr>
              <w:t>Total Excl. VAT (AED)</w:t>
            </w:r>
          </w:p>
        </w:tc>
      </w:tr>
      <w:tr>
        <w:tc>
          <w:tcPr>
            <w:tcW w:type="dxa" w:w="504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</w:t>
            </w:r>
          </w:p>
        </w:tc>
        <w:tc>
          <w:tcPr>
            <w:tcW w:type="dxa" w:w="1224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color w:val="0A2540"/>
                <w:sz w:val="15"/>
              </w:rPr>
              <w:t>pip-ppr</w:t>
            </w:r>
          </w:p>
        </w:tc>
        <w:tc>
          <w:tcPr>
            <w:tcW w:type="dxa" w:w="3672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PPR Polypropylene Pipes PN20 (DIN 8077/8078) Hot/Cold Water, Green SDR6 32mm x 4m</w:t>
            </w:r>
          </w:p>
        </w:tc>
        <w:tc>
          <w:tcPr>
            <w:tcW w:type="dxa" w:w="1368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Cosmoplast / RAKtherm</w:t>
            </w:r>
          </w:p>
        </w:tc>
        <w:tc>
          <w:tcPr>
            <w:tcW w:type="dxa" w:w="720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500</w:t>
            </w:r>
          </w:p>
        </w:tc>
        <w:tc>
          <w:tcPr>
            <w:tcW w:type="dxa" w:w="720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Mtr</w:t>
            </w:r>
          </w:p>
        </w:tc>
        <w:tc>
          <w:tcPr>
            <w:tcW w:type="dxa" w:w="1008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18.50</w:t>
            </w:r>
          </w:p>
        </w:tc>
        <w:tc>
          <w:tcPr>
            <w:tcW w:type="dxa" w:w="1109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color w:val="1E293B"/>
                <w:sz w:val="15"/>
              </w:rPr>
              <w:t>9,250.00</w:t>
            </w:r>
          </w:p>
        </w:tc>
      </w:tr>
      <w:tr>
        <w:tc>
          <w:tcPr>
            <w:tcW w:type="dxa" w:w="504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2</w:t>
            </w:r>
          </w:p>
        </w:tc>
        <w:tc>
          <w:tcPr>
            <w:tcW w:type="dxa" w:w="1224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color w:val="0A2540"/>
                <w:sz w:val="15"/>
              </w:rPr>
              <w:t>plm-upvc-drain</w:t>
            </w:r>
          </w:p>
        </w:tc>
        <w:tc>
          <w:tcPr>
            <w:tcW w:type="dxa" w:w="3672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uPVC Soil &amp; Waste Drainage Pipes Class 4 (BS EN 1329 / 1401) 110mm x 6m with Rubber Ring</w:t>
            </w:r>
          </w:p>
        </w:tc>
        <w:tc>
          <w:tcPr>
            <w:tcW w:type="dxa" w:w="1368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Hepworth / Terrain</w:t>
            </w:r>
          </w:p>
        </w:tc>
        <w:tc>
          <w:tcPr>
            <w:tcW w:type="dxa" w:w="720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300</w:t>
            </w:r>
          </w:p>
        </w:tc>
        <w:tc>
          <w:tcPr>
            <w:tcW w:type="dxa" w:w="720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Mtr</w:t>
            </w:r>
          </w:p>
        </w:tc>
        <w:tc>
          <w:tcPr>
            <w:tcW w:type="dxa" w:w="1008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24.00</w:t>
            </w:r>
          </w:p>
        </w:tc>
        <w:tc>
          <w:tcPr>
            <w:tcW w:type="dxa" w:w="1109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color w:val="1E293B"/>
                <w:sz w:val="15"/>
              </w:rPr>
              <w:t>7,200.00</w:t>
            </w:r>
          </w:p>
        </w:tc>
      </w:tr>
      <w:tr>
        <w:tc>
          <w:tcPr>
            <w:tcW w:type="dxa" w:w="504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3</w:t>
            </w:r>
          </w:p>
        </w:tc>
        <w:tc>
          <w:tcPr>
            <w:tcW w:type="dxa" w:w="1224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color w:val="0A2540"/>
                <w:sz w:val="15"/>
              </w:rPr>
              <w:t>vlv-gate</w:t>
            </w:r>
          </w:p>
        </w:tc>
        <w:tc>
          <w:tcPr>
            <w:tcW w:type="dxa" w:w="3672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Ductile Iron Flanged Gate Valve OS&amp;Y PN16 (BS 5163 / DCL Certified) DN100 4-inch</w:t>
            </w:r>
          </w:p>
        </w:tc>
        <w:tc>
          <w:tcPr>
            <w:tcW w:type="dxa" w:w="1368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Crane / Pegler</w:t>
            </w:r>
          </w:p>
        </w:tc>
        <w:tc>
          <w:tcPr>
            <w:tcW w:type="dxa" w:w="720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12</w:t>
            </w:r>
          </w:p>
        </w:tc>
        <w:tc>
          <w:tcPr>
            <w:tcW w:type="dxa" w:w="720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Pcs</w:t>
            </w:r>
          </w:p>
        </w:tc>
        <w:tc>
          <w:tcPr>
            <w:tcW w:type="dxa" w:w="1008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485.00</w:t>
            </w:r>
          </w:p>
        </w:tc>
        <w:tc>
          <w:tcPr>
            <w:tcW w:type="dxa" w:w="1109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color w:val="1E293B"/>
                <w:sz w:val="15"/>
              </w:rPr>
              <w:t>5,820.00</w:t>
            </w:r>
          </w:p>
        </w:tc>
      </w:tr>
      <w:tr>
        <w:tc>
          <w:tcPr>
            <w:tcW w:type="dxa" w:w="504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4</w:t>
            </w:r>
          </w:p>
        </w:tc>
        <w:tc>
          <w:tcPr>
            <w:tcW w:type="dxa" w:w="1224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color w:val="0A2540"/>
                <w:sz w:val="15"/>
              </w:rPr>
              <w:t>vlv-ball</w:t>
            </w:r>
          </w:p>
        </w:tc>
        <w:tc>
          <w:tcPr>
            <w:tcW w:type="dxa" w:w="3672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Brass Full Bore Ball Valves Screwed Female BSP PN25 (BS EN 13828) 2-inch</w:t>
            </w:r>
          </w:p>
        </w:tc>
        <w:tc>
          <w:tcPr>
            <w:tcW w:type="dxa" w:w="1368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ITAP / Italy</w:t>
            </w:r>
          </w:p>
        </w:tc>
        <w:tc>
          <w:tcPr>
            <w:tcW w:type="dxa" w:w="720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40</w:t>
            </w:r>
          </w:p>
        </w:tc>
        <w:tc>
          <w:tcPr>
            <w:tcW w:type="dxa" w:w="720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Pcs</w:t>
            </w:r>
          </w:p>
        </w:tc>
        <w:tc>
          <w:tcPr>
            <w:tcW w:type="dxa" w:w="1008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62.50</w:t>
            </w:r>
          </w:p>
        </w:tc>
        <w:tc>
          <w:tcPr>
            <w:tcW w:type="dxa" w:w="1109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color w:val="1E293B"/>
                <w:sz w:val="15"/>
              </w:rPr>
              <w:t>2,500.00</w:t>
            </w:r>
          </w:p>
        </w:tc>
      </w:tr>
      <w:tr>
        <w:tc>
          <w:tcPr>
            <w:tcW w:type="dxa" w:w="504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5</w:t>
            </w:r>
          </w:p>
        </w:tc>
        <w:tc>
          <w:tcPr>
            <w:tcW w:type="dxa" w:w="1224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color w:val="0A2540"/>
                <w:sz w:val="15"/>
              </w:rPr>
              <w:t>sup-clamps</w:t>
            </w:r>
          </w:p>
        </w:tc>
        <w:tc>
          <w:tcPr>
            <w:tcW w:type="dxa" w:w="3672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EPDM Heavy Duty Rubber Lined Pipe Clamps with M10 Connection Nut 4-inch</w:t>
            </w:r>
          </w:p>
        </w:tc>
        <w:tc>
          <w:tcPr>
            <w:tcW w:type="dxa" w:w="1368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Walraven / Sikla</w:t>
            </w:r>
          </w:p>
        </w:tc>
        <w:tc>
          <w:tcPr>
            <w:tcW w:type="dxa" w:w="720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120</w:t>
            </w:r>
          </w:p>
        </w:tc>
        <w:tc>
          <w:tcPr>
            <w:tcW w:type="dxa" w:w="720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Pcs</w:t>
            </w:r>
          </w:p>
        </w:tc>
        <w:tc>
          <w:tcPr>
            <w:tcW w:type="dxa" w:w="1008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9.50</w:t>
            </w:r>
          </w:p>
        </w:tc>
        <w:tc>
          <w:tcPr>
            <w:tcW w:type="dxa" w:w="1109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color w:val="1E293B"/>
                <w:sz w:val="15"/>
              </w:rPr>
              <w:t>1,140.00</w:t>
            </w:r>
          </w:p>
        </w:tc>
      </w:tr>
      <w:tr>
        <w:tc>
          <w:tcPr>
            <w:tcW w:type="dxa" w:w="504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6</w:t>
            </w:r>
          </w:p>
        </w:tc>
        <w:tc>
          <w:tcPr>
            <w:tcW w:type="dxa" w:w="1224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color w:val="0A2540"/>
                <w:sz w:val="15"/>
              </w:rPr>
              <w:t>chm-silicone</w:t>
            </w:r>
          </w:p>
        </w:tc>
        <w:tc>
          <w:tcPr>
            <w:tcW w:type="dxa" w:w="3672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Neutral Industrial Weatherproof Silicone &amp; PU Sealant Cartridges 300ml Grey</w:t>
            </w:r>
          </w:p>
        </w:tc>
        <w:tc>
          <w:tcPr>
            <w:tcW w:type="dxa" w:w="1368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Sika / Fosroc</w:t>
            </w:r>
          </w:p>
        </w:tc>
        <w:tc>
          <w:tcPr>
            <w:tcW w:type="dxa" w:w="720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150</w:t>
            </w:r>
          </w:p>
        </w:tc>
        <w:tc>
          <w:tcPr>
            <w:tcW w:type="dxa" w:w="720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Cart</w:t>
            </w:r>
          </w:p>
        </w:tc>
        <w:tc>
          <w:tcPr>
            <w:tcW w:type="dxa" w:w="1008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14.00</w:t>
            </w:r>
          </w:p>
        </w:tc>
        <w:tc>
          <w:tcPr>
            <w:tcW w:type="dxa" w:w="1109"/>
            <w:shd w:fill="F8FAFC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color w:val="1E293B"/>
                <w:sz w:val="15"/>
              </w:rPr>
              <w:t>2,100.00</w:t>
            </w:r>
          </w:p>
        </w:tc>
      </w:tr>
      <w:tr>
        <w:tc>
          <w:tcPr>
            <w:tcW w:type="dxa" w:w="504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7</w:t>
            </w:r>
          </w:p>
        </w:tc>
        <w:tc>
          <w:tcPr>
            <w:tcW w:type="dxa" w:w="1224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color w:val="0A2540"/>
                <w:sz w:val="15"/>
              </w:rPr>
              <w:t>fst-anchors</w:t>
            </w:r>
          </w:p>
        </w:tc>
        <w:tc>
          <w:tcPr>
            <w:tcW w:type="dxa" w:w="3672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Heavy Duty ETA Option 1 Throughbolt Wedge Anchors M12 x 100mm Zinc Plated</w:t>
            </w:r>
          </w:p>
        </w:tc>
        <w:tc>
          <w:tcPr>
            <w:tcW w:type="dxa" w:w="1368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color w:val="1E293B"/>
                <w:sz w:val="15"/>
              </w:rPr>
              <w:t>Fischer / Hilti</w:t>
            </w:r>
          </w:p>
        </w:tc>
        <w:tc>
          <w:tcPr>
            <w:tcW w:type="dxa" w:w="720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400</w:t>
            </w:r>
          </w:p>
        </w:tc>
        <w:tc>
          <w:tcPr>
            <w:tcW w:type="dxa" w:w="720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Pcs</w:t>
            </w:r>
          </w:p>
        </w:tc>
        <w:tc>
          <w:tcPr>
            <w:tcW w:type="dxa" w:w="1008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color w:val="1E293B"/>
                <w:sz w:val="15"/>
              </w:rPr>
              <w:t>4.25</w:t>
            </w:r>
          </w:p>
        </w:tc>
        <w:tc>
          <w:tcPr>
            <w:tcW w:type="dxa" w:w="1109"/>
            <w:shd w:fill="FFFFFF"/>
            <w:tcMar>
              <w:top w:w="55" w:type="dxa"/>
              <w:bottom w:w="55" w:type="dxa"/>
              <w:left w:w="45" w:type="dxa"/>
              <w:right w:w="45" w:type="dxa"/>
            </w:tcMar>
            <w:tcBorders>
              <w:top w:val="single" w:sz="4" w:space="0" w:color="E2E8F0"/>
              <w:bottom w:val="single" w:sz="4" w:space="0" w:color="E2E8F0"/>
              <w:left w:val="none" w:sz="0" w:space="0" w:color="E2E8F0"/>
              <w:right w:val="none" w:sz="0" w:space="0" w:color="E2E8F0"/>
            </w:tcBorders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color w:val="1E293B"/>
                <w:sz w:val="15"/>
              </w:rPr>
              <w:t>1,700.00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904"/>
            <w:tcMar>
              <w:top w:w="70" w:type="dxa"/>
              <w:bottom w:w="70" w:type="dxa"/>
              <w:left w:w="80" w:type="dxa"/>
              <w:right w:w="80" w:type="dxa"/>
            </w:tcMar>
            <w:shd w:fill="F1F5F9"/>
            <w:tcBorders>
              <w:top w:val="single" w:sz="8" w:space="0" w:color="CBD5E1"/>
              <w:bottom w:val="single" w:sz="8" w:space="0" w:color="CBD5E1"/>
              <w:left w:val="single" w:sz="14" w:space="0" w:color="0A2540"/>
              <w:right w:val="single" w:sz="8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A2540"/>
                <w:sz w:val="16"/>
              </w:rPr>
              <w:t>OFFICIAL REMITTANCE / BANK ACCOUNT DETAILS</w:t>
            </w:r>
          </w:p>
          <w:p>
            <w:pPr>
              <w:spacing w:after="20" w:before="0"/>
            </w:pPr>
            <w:r>
              <w:rPr>
                <w:rFonts w:ascii="Calibri" w:hAnsi="Calibri"/>
                <w:b/>
                <w:color w:val="1E293B"/>
                <w:sz w:val="14"/>
              </w:rPr>
              <w:t xml:space="preserve">Account Name:  </w:t>
            </w:r>
            <w:r>
              <w:rPr>
                <w:rFonts w:ascii="Calibri" w:hAnsi="Calibri"/>
                <w:color w:val="1E293B"/>
                <w:sz w:val="14"/>
              </w:rPr>
              <w:t>PRILOK BUILDING MATERIALS TRADING LLC</w:t>
            </w:r>
          </w:p>
          <w:p>
            <w:pPr>
              <w:spacing w:after="20" w:before="0"/>
            </w:pPr>
            <w:r>
              <w:rPr>
                <w:rFonts w:ascii="Calibri" w:hAnsi="Calibri"/>
                <w:b/>
                <w:color w:val="1E293B"/>
                <w:sz w:val="14"/>
              </w:rPr>
              <w:t xml:space="preserve">Bank Name:     </w:t>
            </w:r>
            <w:r>
              <w:rPr>
                <w:rFonts w:ascii="Calibri" w:hAnsi="Calibri"/>
                <w:color w:val="1E293B"/>
                <w:sz w:val="14"/>
              </w:rPr>
              <w:t>Emirates NBD Bank PJSC</w:t>
            </w:r>
          </w:p>
          <w:p>
            <w:pPr>
              <w:spacing w:after="20" w:before="0"/>
            </w:pPr>
            <w:r>
              <w:rPr>
                <w:rFonts w:ascii="Calibri" w:hAnsi="Calibri"/>
                <w:b/>
                <w:color w:val="1E293B"/>
                <w:sz w:val="14"/>
              </w:rPr>
              <w:t xml:space="preserve">Account No:    </w:t>
            </w:r>
            <w:r>
              <w:rPr>
                <w:rFonts w:ascii="Calibri" w:hAnsi="Calibri"/>
                <w:color w:val="1E293B"/>
                <w:sz w:val="14"/>
              </w:rPr>
              <w:t>1018 4920 3840 01</w:t>
            </w:r>
          </w:p>
          <w:p>
            <w:pPr>
              <w:spacing w:after="20" w:before="0"/>
            </w:pPr>
            <w:r>
              <w:rPr>
                <w:rFonts w:ascii="Calibri" w:hAnsi="Calibri"/>
                <w:b/>
                <w:color w:val="1E293B"/>
                <w:sz w:val="14"/>
              </w:rPr>
              <w:t xml:space="preserve">IBAN No:       </w:t>
            </w:r>
            <w:r>
              <w:rPr>
                <w:rFonts w:ascii="Calibri" w:hAnsi="Calibri"/>
                <w:b/>
                <w:color w:val="0A2540"/>
                <w:sz w:val="14"/>
              </w:rPr>
              <w:t>AE48 0330 0001 0184 9203 8400 1</w:t>
            </w:r>
          </w:p>
          <w:p>
            <w:pPr>
              <w:spacing w:after="20" w:before="0"/>
            </w:pPr>
            <w:r>
              <w:rPr>
                <w:rFonts w:ascii="Calibri" w:hAnsi="Calibri"/>
                <w:b/>
                <w:color w:val="1E293B"/>
                <w:sz w:val="14"/>
              </w:rPr>
              <w:t xml:space="preserve">SWIFT / BIC:   </w:t>
            </w:r>
            <w:r>
              <w:rPr>
                <w:rFonts w:ascii="Calibri" w:hAnsi="Calibri"/>
                <w:color w:val="1E293B"/>
                <w:sz w:val="14"/>
              </w:rPr>
              <w:t>EBILAEADXXX</w:t>
            </w:r>
          </w:p>
          <w:p>
            <w:pPr>
              <w:spacing w:after="20" w:before="0"/>
            </w:pPr>
            <w:r>
              <w:rPr>
                <w:rFonts w:ascii="Calibri" w:hAnsi="Calibri"/>
                <w:b/>
                <w:color w:val="1E293B"/>
                <w:sz w:val="14"/>
              </w:rPr>
              <w:t xml:space="preserve">Branch:        </w:t>
            </w:r>
            <w:r>
              <w:rPr>
                <w:rFonts w:ascii="Calibri" w:hAnsi="Calibri"/>
                <w:color w:val="1E293B"/>
                <w:sz w:val="14"/>
              </w:rPr>
              <w:t>Al Maktoum Road Branch, Dubai, UAE</w:t>
            </w:r>
          </w:p>
          <w:p>
            <w:pPr>
              <w:spacing w:before="60" w:after="0"/>
            </w:pPr>
            <w:r>
              <w:rPr>
                <w:rFonts w:ascii="Calibri" w:hAnsi="Calibri"/>
                <w:b/>
                <w:color w:val="1E293B"/>
                <w:sz w:val="15"/>
              </w:rPr>
              <w:t xml:space="preserve">Amount in Words: </w:t>
            </w:r>
            <w:r>
              <w:rPr>
                <w:rFonts w:ascii="Calibri" w:hAnsi="Calibri"/>
                <w:i/>
                <w:color w:val="D9822B"/>
                <w:sz w:val="15"/>
              </w:rPr>
              <w:t>UAE Dirhams Thirty-One Thousand One Hundred Ninety-Five &amp; 50/100 Only.</w:t>
            </w:r>
          </w:p>
        </w:tc>
        <w:tc>
          <w:tcPr>
            <w:tcW w:type="dxa" w:w="4421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8" w:space="0" w:color="CBD5E1"/>
              <w:bottom w:val="single" w:sz="8" w:space="0" w:color="CBD5E1"/>
              <w:left w:val="single" w:sz="8" w:space="0" w:color="CBD5E1"/>
              <w:right w:val="single" w:sz="14" w:space="0" w:color="D9822B"/>
            </w:tcBorders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color w:val="1E293B"/>
                <w:sz w:val="15"/>
              </w:rPr>
              <w:t>Sub-Total (Net Excl. VAT):</w:t>
              <w:br/>
            </w:r>
            <w:r>
              <w:rPr>
                <w:rFonts w:ascii="Calibri" w:hAnsi="Calibri"/>
                <w:b/>
                <w:color w:val="D9822B"/>
                <w:sz w:val="18"/>
              </w:rPr>
              <w:t>AED 29,710.00</w:t>
            </w:r>
          </w:p>
          <w:p>
            <w:pPr>
              <w:spacing w:after="40" w:before="20"/>
            </w:pPr>
            <w:r>
              <w:rPr>
                <w:rFonts w:ascii="Calibri" w:hAnsi="Calibri"/>
                <w:b w:val="0"/>
                <w:color w:val="1E293B"/>
                <w:sz w:val="15"/>
              </w:rPr>
              <w:t>Special Contractor Discount (0%):</w:t>
              <w:br/>
            </w:r>
            <w:r>
              <w:rPr>
                <w:rFonts w:ascii="Calibri" w:hAnsi="Calibri"/>
                <w:b/>
                <w:color w:val="D9822B"/>
                <w:sz w:val="18"/>
              </w:rPr>
              <w:t>AED 0.00</w:t>
            </w:r>
          </w:p>
          <w:p>
            <w:pPr>
              <w:spacing w:after="40" w:before="20"/>
            </w:pPr>
            <w:r>
              <w:rPr>
                <w:rFonts w:ascii="Calibri" w:hAnsi="Calibri"/>
                <w:b/>
                <w:color w:val="1E293B"/>
                <w:sz w:val="15"/>
              </w:rPr>
              <w:t>Net Taxable Amount:</w:t>
              <w:br/>
            </w:r>
            <w:r>
              <w:rPr>
                <w:rFonts w:ascii="Calibri" w:hAnsi="Calibri"/>
                <w:b/>
                <w:color w:val="D9822B"/>
                <w:sz w:val="18"/>
              </w:rPr>
              <w:t>AED 29,710.00</w:t>
            </w:r>
          </w:p>
          <w:p>
            <w:pPr>
              <w:spacing w:after="40" w:before="20"/>
            </w:pPr>
            <w:r>
              <w:rPr>
                <w:rFonts w:ascii="Calibri" w:hAnsi="Calibri"/>
                <w:b/>
                <w:color w:val="1E293B"/>
                <w:sz w:val="15"/>
              </w:rPr>
              <w:t>UAE VAT Rate (5.00%):</w:t>
              <w:br/>
            </w:r>
            <w:r>
              <w:rPr>
                <w:rFonts w:ascii="Calibri" w:hAnsi="Calibri"/>
                <w:b/>
                <w:color w:val="D9822B"/>
                <w:sz w:val="18"/>
              </w:rPr>
              <w:t>AED 1,485.50</w:t>
            </w:r>
          </w:p>
          <w:p>
            <w:pPr>
              <w:spacing w:after="0" w:before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GRAND TOTAL (AED): </w:t>
            </w:r>
            <w:r>
              <w:rPr>
                <w:rFonts w:ascii="Calibri" w:hAnsi="Calibri"/>
                <w:b/>
                <w:color w:val="FFFFFF"/>
                <w:sz w:val="23"/>
              </w:rPr>
              <w:t>AED 31,195.50</w:t>
            </w:r>
          </w:p>
        </w:tc>
      </w:tr>
    </w:tbl>
    <w:p>
      <w:pPr>
        <w:spacing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  <w:tcBorders>
              <w:top w:val="single" w:sz="8" w:space="0" w:color="CBD5E1"/>
              <w:bottom w:val="single" w:sz="8" w:space="0" w:color="CBD5E1"/>
              <w:left w:val="single" w:sz="8" w:space="0" w:color="CBD5E1"/>
              <w:right w:val="single" w:sz="8" w:space="0" w:color="CBD5E1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color w:val="0A2540"/>
                <w:sz w:val="16"/>
              </w:rPr>
              <w:t>COMMERCIAL TERMS &amp; SUPPLY CONDITIONS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1E293B"/>
                <w:sz w:val="14"/>
              </w:rPr>
              <w:t>1. Price &amp; Currency: All prices are in UAE Dirhams (AED) and subject to 5% UAE VAT as per FTA regulations.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1E293B"/>
                <w:sz w:val="14"/>
              </w:rPr>
              <w:t>2. Validity: Quotation is valid for 30 calendar days from issue date, subject to stock availability upon LPO confirmation.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1E293B"/>
                <w:sz w:val="14"/>
              </w:rPr>
              <w:t>3. Delivery &amp; Offloading: Free delivery to client site across UAE for full truckload orders. Offloading by buyer.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1E293B"/>
                <w:sz w:val="14"/>
              </w:rPr>
              <w:t>4. Compliance &amp; MTC: All products are 100% brand new, original first-choice materials conforming to listed BS/DIN/ASTM/EN standards. Mill Test Certificates (MTC) &amp; DCL batch certificates provided.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1E293B"/>
                <w:sz w:val="14"/>
              </w:rPr>
              <w:t>5. Payment Terms: 30 Days PDC against approved credit facility / Advance bank transfer prior to dispatch.</w:t>
            </w:r>
          </w:p>
        </w:tc>
      </w:tr>
    </w:tbl>
    <w:p>
      <w:pPr>
        <w:spacing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  <w:tcBorders>
              <w:top w:val="single" w:sz="8" w:space="0" w:color="CBD5E1"/>
              <w:bottom w:val="single" w:sz="8" w:space="0" w:color="CBD5E1"/>
              <w:left w:val="single" w:sz="8" w:space="0" w:color="CBD5E1"/>
              <w:right w:val="single" w:sz="8" w:space="0" w:color="CBD5E1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color w:val="0A2540"/>
                <w:sz w:val="15"/>
              </w:rPr>
              <w:t>ISSUED BY: PRILOK BUILDING MATERIALS TRADING LLC</w:t>
            </w:r>
          </w:p>
          <w:p>
            <w:pPr>
              <w:spacing w:before="360" w:after="0"/>
            </w:pPr>
            <w:r>
              <w:rPr>
                <w:rFonts w:ascii="Calibri" w:hAnsi="Calibri"/>
                <w:color w:val="64748B"/>
                <w:sz w:val="14"/>
              </w:rPr>
              <w:t>_________________________________________</w:t>
              <w:br/>
              <w:t>Authorized Commercial Sales Representative / Official Stamp</w:t>
              <w:br/>
              <w:t>Date: 18 August 2026</w:t>
            </w:r>
          </w:p>
        </w:tc>
        <w:tc>
          <w:tcPr>
            <w:tcW w:type="dxa" w:w="516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  <w:tcBorders>
              <w:top w:val="single" w:sz="8" w:space="0" w:color="CBD5E1"/>
              <w:bottom w:val="single" w:sz="8" w:space="0" w:color="CBD5E1"/>
              <w:left w:val="single" w:sz="8" w:space="0" w:color="CBD5E1"/>
              <w:right w:val="single" w:sz="8" w:space="0" w:color="CBD5E1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color w:val="D9822B"/>
                <w:sz w:val="15"/>
              </w:rPr>
              <w:t>CLIENT CONFIRMATION &amp; LPO ACCEPTANCE</w:t>
            </w:r>
          </w:p>
          <w:p>
            <w:pPr>
              <w:spacing w:before="360" w:after="0"/>
            </w:pPr>
            <w:r>
              <w:rPr>
                <w:rFonts w:ascii="Calibri" w:hAnsi="Calibri"/>
                <w:color w:val="64748B"/>
                <w:sz w:val="14"/>
              </w:rPr>
              <w:t>_________________________________________</w:t>
              <w:br/>
              <w:t>Authorized Signatory &amp; Company Stamp</w:t>
              <w:br/>
              <w:t>Name / Designation / LPO Ref No: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828C"/>
        <w:sz w:val="16"/>
      </w:rPr>
      <w:t>PRILOK Building Materials Trading LLC • P.O. Box 48512, Dubai, UAE • Tel: +971 56 567 0169 • sales@prilok.com • www.prilok.com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C96A0"/>
        <w:sz w:val="16"/>
      </w:rPr>
      <w:t>PRILOK BUILDING MATERIALS TRADING LLC | COMMERCIAL QUOTATION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