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472"/>
            <w:tcMar>
              <w:top w:w="20" w:type="dxa"/>
              <w:bottom w:w="40" w:type="dxa"/>
              <w:left w:w="20" w:type="dxa"/>
              <w:right w:w="20" w:type="dxa"/>
            </w:tcMar>
            <w:tcBorders>
              <w:top w:val="none"/>
              <w:bottom w:val="single" w:sz="14" w:space="0" w:color="0A2540"/>
              <w:left w:val="none"/>
              <w:right w:val="none"/>
            </w:tcBorders>
          </w:tcPr>
          <w:p>
            <w:pPr>
              <w:spacing w:before="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1640" cy="18226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lok-logo-comple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822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64748B"/>
                <w:sz w:val="15"/>
              </w:rPr>
              <w:t>Commercial License: 1530948 • TRN: 100458291000003</w:t>
              <w:br/>
              <w:t>Dubai Investment Park / Al Quoz, Dubai, UAE</w:t>
              <w:br/>
              <w:t>Direct: +971 56 567 0169 • priya@prilok.com • www.prilok.com</w:t>
            </w:r>
          </w:p>
        </w:tc>
        <w:tc>
          <w:tcPr>
            <w:tcW w:type="dxa" w:w="4853"/>
            <w:tcMar>
              <w:top w:w="20" w:type="dxa"/>
              <w:bottom w:w="40" w:type="dxa"/>
              <w:left w:w="20" w:type="dxa"/>
              <w:right w:w="20" w:type="dxa"/>
            </w:tcMar>
            <w:tcBorders>
              <w:top w:val="none"/>
              <w:bottom w:val="single" w:sz="14" w:space="0" w:color="0A2540"/>
              <w:left w:val="none"/>
              <w:right w:val="none"/>
            </w:tcBorders>
          </w:tcPr>
          <w:p>
            <w:pPr>
              <w:spacing w:before="0" w:after="20"/>
              <w:jc w:val="right"/>
            </w:pPr>
            <w:r>
              <w:rPr>
                <w:rFonts w:ascii="Calibri" w:hAnsi="Calibri"/>
                <w:b/>
                <w:color w:val="0A2540"/>
                <w:sz w:val="27"/>
              </w:rPr>
              <w:t>COMMERCIAL RATE QUOTATION</w:t>
            </w:r>
          </w:p>
          <w:p>
            <w:pPr>
              <w:spacing w:before="0" w:after="60"/>
              <w:jc w:val="right"/>
            </w:pPr>
            <w:r>
              <w:rPr>
                <w:rFonts w:ascii="Calibri" w:hAnsi="Calibri"/>
                <w:b/>
                <w:color w:val="D9822B"/>
                <w:sz w:val="17"/>
              </w:rPr>
              <w:t>Price Offer &amp; Material BOQ Schedule</w:t>
            </w:r>
          </w:p>
          <w:p>
            <w:pPr>
              <w:spacing w:after="20" w:before="0"/>
              <w:jc w:val="right"/>
            </w:pPr>
            <w:r>
              <w:rPr>
                <w:b/>
                <w:color w:val="1E293B"/>
                <w:sz w:val="16"/>
              </w:rPr>
              <w:t xml:space="preserve">Quote Ref: </w:t>
            </w:r>
            <w:r>
              <w:rPr>
                <w:b/>
                <w:color w:val="0A2540"/>
                <w:sz w:val="16"/>
              </w:rPr>
              <w:t>PRK-QT-2026-0842</w:t>
            </w:r>
          </w:p>
          <w:p>
            <w:pPr>
              <w:spacing w:after="20" w:before="0"/>
              <w:jc w:val="right"/>
            </w:pPr>
            <w:r>
              <w:rPr>
                <w:b/>
                <w:color w:val="1E293B"/>
                <w:sz w:val="16"/>
              </w:rPr>
              <w:t xml:space="preserve">Quote Date: </w:t>
            </w:r>
            <w:r>
              <w:rPr>
                <w:b w:val="0"/>
                <w:color w:val="1E293B"/>
                <w:sz w:val="16"/>
              </w:rPr>
              <w:t>August 2026</w:t>
            </w:r>
          </w:p>
          <w:p>
            <w:pPr>
              <w:spacing w:after="20" w:before="0"/>
              <w:jc w:val="right"/>
            </w:pPr>
            <w:r>
              <w:rPr>
                <w:b/>
                <w:color w:val="1E293B"/>
                <w:sz w:val="16"/>
              </w:rPr>
              <w:t xml:space="preserve">Validity: </w:t>
            </w:r>
            <w:r>
              <w:rPr>
                <w:b w:val="0"/>
                <w:color w:val="1E293B"/>
                <w:sz w:val="16"/>
              </w:rPr>
              <w:t>15 Days from Date of Issue</w:t>
            </w:r>
          </w:p>
          <w:p>
            <w:pPr>
              <w:spacing w:after="20" w:before="0"/>
              <w:jc w:val="right"/>
            </w:pPr>
            <w:r>
              <w:rPr>
                <w:b/>
                <w:color w:val="1E293B"/>
                <w:sz w:val="16"/>
              </w:rPr>
              <w:t xml:space="preserve">Payment: </w:t>
            </w:r>
            <w:r>
              <w:rPr>
                <w:b w:val="0"/>
                <w:color w:val="1E293B"/>
                <w:sz w:val="16"/>
              </w:rPr>
              <w:t>30 Days PDC / Wire Transfer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single" w:sz="6" w:space="0" w:color="CBD5E1"/>
              <w:bottom w:val="single" w:sz="6" w:space="0" w:color="CBD5E1"/>
              <w:left w:val="single" w:sz="12" w:space="0" w:color="0A2540"/>
              <w:right w:val="single" w:sz="6" w:space="0" w:color="CBD5E1"/>
            </w:tcBorders>
          </w:tcPr>
          <w:p>
            <w:r>
              <w:rPr>
                <w:b/>
                <w:color w:val="0A2540"/>
                <w:sz w:val="17"/>
              </w:rPr>
              <w:t>QUOTATION ISSUED TO: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Company Name:    </w:t>
            </w:r>
            <w:r>
              <w:rPr>
                <w:color w:val="1E293B"/>
                <w:sz w:val="15"/>
              </w:rPr>
              <w:t>Contractor / Client LLC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Attention:       </w:t>
            </w:r>
            <w:r>
              <w:rPr>
                <w:color w:val="1E293B"/>
                <w:sz w:val="15"/>
              </w:rPr>
              <w:t>Procurement &amp; Commercial Dept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Site Location:   </w:t>
            </w:r>
            <w:r>
              <w:rPr>
                <w:color w:val="1E293B"/>
                <w:sz w:val="15"/>
              </w:rPr>
              <w:t>Dubai &amp; Northern Emirates, UAE</w:t>
            </w:r>
          </w:p>
        </w:tc>
        <w:tc>
          <w:tcPr>
            <w:tcW w:type="dxa" w:w="516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single" w:sz="6" w:space="0" w:color="CBD5E1"/>
              <w:bottom w:val="single" w:sz="6" w:space="0" w:color="CBD5E1"/>
              <w:left w:val="single" w:sz="12" w:space="0" w:color="D9822B"/>
              <w:right w:val="single" w:sz="6" w:space="0" w:color="CBD5E1"/>
            </w:tcBorders>
          </w:tcPr>
          <w:p>
            <w:r>
              <w:rPr>
                <w:b/>
                <w:color w:val="D9822B"/>
                <w:sz w:val="17"/>
              </w:rPr>
              <w:t>DELIVERY &amp; COMPLIANCE: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Delivery Terms:  </w:t>
            </w:r>
            <w:r>
              <w:rPr>
                <w:color w:val="1E293B"/>
                <w:sz w:val="15"/>
              </w:rPr>
              <w:t>Delivered to Site / Ex-Stock Dubai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Lead Time:       </w:t>
            </w:r>
            <w:r>
              <w:rPr>
                <w:color w:val="1E293B"/>
                <w:sz w:val="15"/>
              </w:rPr>
              <w:t>Immediate Dispatch (24-48 Hours)</w:t>
            </w:r>
          </w:p>
          <w:p>
            <w:pPr>
              <w:spacing w:before="0" w:after="20"/>
            </w:pPr>
            <w:r>
              <w:rPr>
                <w:b/>
                <w:color w:val="1E293B"/>
                <w:sz w:val="15"/>
              </w:rPr>
              <w:t xml:space="preserve">Certificates:    </w:t>
            </w:r>
            <w:r>
              <w:rPr>
                <w:color w:val="1E293B"/>
                <w:sz w:val="15"/>
              </w:rPr>
              <w:t>Mill Test Certificates (MTC) &amp; DCL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576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989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Item Description &amp; Specification</w:t>
            </w:r>
          </w:p>
        </w:tc>
        <w:tc>
          <w:tcPr>
            <w:tcW w:type="dxa" w:w="1584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Brand</w:t>
            </w:r>
          </w:p>
        </w:tc>
        <w:tc>
          <w:tcPr>
            <w:tcW w:type="dxa" w:w="864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720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type="dxa" w:w="1296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Rate (AED)</w:t>
            </w:r>
          </w:p>
        </w:tc>
        <w:tc>
          <w:tcPr>
            <w:tcW w:type="dxa" w:w="1296"/>
            <w:shd w:fill="0A254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Total (AED)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3989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Ordinary Portland Cement (OPC Grade 53)</w:t>
              <w:br/>
              <w:t>BS EN 197-1 Grade 53, 50kg Bags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RAK / National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Bags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500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15.50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7,750.00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2</w:t>
            </w:r>
          </w:p>
        </w:tc>
        <w:tc>
          <w:tcPr>
            <w:tcW w:type="dxa" w:w="3989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PPR Pipes PN16 &amp; PN20 (Hot &amp; Cold Water)</w:t>
              <w:br/>
              <w:t>DIN 8077/8078 Certified Green SDR6 32mm (4m)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RAKtherm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Lengths</w:t>
            </w:r>
          </w:p>
        </w:tc>
        <w:tc>
          <w:tcPr>
            <w:tcW w:type="dxa" w:w="72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120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48.00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5,760.00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3</w:t>
            </w:r>
          </w:p>
        </w:tc>
        <w:tc>
          <w:tcPr>
            <w:tcW w:type="dxa" w:w="3989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Flanged Resilient Gate Valve PN16 (Ductile Iron)</w:t>
              <w:br/>
              <w:t>BS 5163 / DIN 3352 Non-Rising Stem 4" (DN100)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Crane / KITZ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Nos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12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485.00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5,820.00</w:t>
            </w:r>
          </w:p>
        </w:tc>
      </w:tr>
      <w:tr>
        <w:tc>
          <w:tcPr>
            <w:tcW w:type="dxa" w:w="57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4</w:t>
            </w:r>
          </w:p>
        </w:tc>
        <w:tc>
          <w:tcPr>
            <w:tcW w:type="dxa" w:w="3989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XLPE/SWA/PVC 4-Core 16mm² Armoured Cable</w:t>
              <w:br/>
              <w:t>BS 5467 / IEC 60502-1 600/1000V Certified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Ducab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Mtrs</w:t>
            </w:r>
          </w:p>
        </w:tc>
        <w:tc>
          <w:tcPr>
            <w:tcW w:type="dxa" w:w="72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300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38.50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11,550.00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5</w:t>
            </w:r>
          </w:p>
        </w:tc>
        <w:tc>
          <w:tcPr>
            <w:tcW w:type="dxa" w:w="3989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4mm SBS Torch-on Waterproofing Membrane</w:t>
              <w:br/>
              <w:t>Polyester Reinforced with PE Surface (10m Roll)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color w:val="1E293B"/>
                <w:sz w:val="15"/>
              </w:rPr>
              <w:t>Sika / Mapei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Rolls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1E293B"/>
                <w:sz w:val="15"/>
              </w:rPr>
              <w:t>60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color w:val="1E293B"/>
                <w:sz w:val="15"/>
              </w:rPr>
              <w:t>115.00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b/>
                <w:color w:val="1E293B"/>
                <w:sz w:val="15"/>
              </w:rPr>
              <w:t>6,900.00</w:t>
            </w:r>
          </w:p>
        </w:tc>
      </w:tr>
    </w:tbl>
    <w:p>
      <w:pPr>
        <w:spacing w:before="6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Subtotal (AED):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37,780.00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VAT (5%):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1,889.00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shd w:fill="0A2540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Grand Total (AED):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  <w:shd w:fill="0A2540"/>
          </w:tcPr>
          <w:p>
            <w:pPr>
              <w:jc w:val="right"/>
            </w:pPr>
            <w:r>
              <w:rPr>
                <w:b/>
                <w:color w:val="D9822B"/>
                <w:sz w:val="19"/>
              </w:rPr>
              <w:t>AED 39,669.00</w:t>
            </w:r>
          </w:p>
        </w:tc>
      </w:tr>
    </w:tbl>
    <w:p>
      <w:pPr>
        <w:spacing w:befor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8" w:space="0" w:color="CBD5E1"/>
              <w:bottom w:val="none"/>
              <w:left w:val="none"/>
              <w:right w:val="none"/>
            </w:tcBorders>
          </w:tcPr>
          <w:p>
            <w:r>
              <w:rPr>
                <w:b/>
              </w:rPr>
              <w:t>Prepared &amp; Issued By: Priya</w:t>
              <w:br/>
            </w:r>
            <w:r>
              <w:t>Head of Commercial Sales • PRILOK Trading</w:t>
              <w:br/>
              <w:t>Tel: +971 56 567 0169 • priya@prilok.com</w:t>
            </w:r>
          </w:p>
        </w:tc>
        <w:tc>
          <w:tcPr>
            <w:tcW w:type="dxa" w:w="516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8" w:space="0" w:color="CBD5E1"/>
              <w:bottom w:val="none"/>
              <w:left w:val="none"/>
              <w:right w:val="none"/>
            </w:tcBorders>
          </w:tcPr>
          <w:p>
            <w:pPr>
              <w:jc w:val="right"/>
            </w:pPr>
            <w:r>
              <w:rPr>
                <w:b/>
              </w:rPr>
              <w:t>Client Acceptance &amp; Corporate Seal</w:t>
              <w:br/>
            </w:r>
            <w:r>
              <w:t>Authorized Signatory • LPO Reference No.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5"/>
      </w:rPr>
      <w:t>PRILOK Building Materials Trading LLC • Dubai, UAE • Direct: +971 56 567 0169 • priya@prilok.com • www.prilok.com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5"/>
      </w:rPr>
      <w:t>PRILOK BUILDING MATERIALS TRADING LLC | COMMERCIAL 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