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Commercial Quotation: Single-Axis Tracker Supply</w:t>
      </w:r>
    </w:p>
    <w:p>
      <w:pPr>
        <w:spacing w:after="100"/>
      </w:pPr>
      <w:r>
        <w:rPr>
          <w:b/>
          <w:bCs/>
        </w:rPr>
        <w:t xml:space="preserve">SunAxis Trackers Pvt Ltd</w:t>
      </w:r>
      <w:r>
        <w:t xml:space="preserve">  →  </w:t>
      </w:r>
      <w:r>
        <w:rPr>
          <w:b/>
          <w:bCs/>
        </w:rPr>
        <w:t xml:space="preserve">Thar Sun Energy Pvt Ltd</w:t>
      </w:r>
    </w:p>
    <w:p>
      <w:pPr>
        <w:spacing w:after="100"/>
      </w:pPr>
      <w:r>
        <w:rPr>
          <w:i/>
          <w:iCs/>
          <w:color w:val="7F7F7F"/>
          <w:sz w:val="18"/>
          <w:szCs w:val="18"/>
        </w:rPr>
        <w:t xml:space="preserve">FICTIONAL companies. Portfolio example only. Energy figures are PVGIS-simulated scenarios, not guaranteed performance.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Quotation no.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SAX-Q-2026-0147, Revision 0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Date / validity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24-Oct-2026 / valid 30 days (until 23-Nov-2026)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Project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Thar Sun 100 MWp (DC), Jodhpur district, Rajasthan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Product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SunAxis single-row, single-axis horizontal tracker with backtracking, wind-stow control and wireless network</w:t>
            </w:r>
          </w:p>
        </w:tc>
      </w:tr>
    </w:tbl>
    <w:p>
      <w:pPr>
        <w:pStyle w:val="Heading2"/>
        <w:spacing w:after="100" w:before="200"/>
      </w:pPr>
      <w:r>
        <w:t xml:space="preserve">1. Scope of supply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Complete tracker structure for 100 MWp DC: torque tubes, bearings, module rails and clamps, fasteners.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Foundation piles per the preliminary pile design (subject to the site geotechnical report).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Slew drives and motors, tracker controllers, sensors, network controller and SCADA interface.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Delivery to site (DAP Jodhpur), installation supervision, commissioning and O&amp;M training.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Excluded: civil works, pile installation labour, module mounting labour, taxes (GST extra).</w:t>
      </w:r>
    </w:p>
    <w:p>
      <w:pPr>
        <w:pStyle w:val="Heading2"/>
        <w:spacing w:after="100" w:before="200"/>
      </w:pPr>
      <w:r>
        <w:t xml:space="preserve">2. Price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400"/>
        <w:gridCol w:w="2426"/>
      </w:tblGrid>
      <w:tr>
        <w:trPr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INR / Wp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Total (INR crore)</w:t>
            </w:r>
          </w:p>
        </w:tc>
      </w:tr>
      <w:tr>
        <w:trPr>
          <w:tblHeader w:val="off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List price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8.10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81.00</w:t>
            </w:r>
          </w:p>
        </w:tc>
      </w:tr>
      <w:tr>
        <w:trPr>
          <w:tblHeader w:val="off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Project discount (3%)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(0.24)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(2.43)</w:t>
            </w:r>
          </w:p>
        </w:tc>
      </w:tr>
      <w:tr>
        <w:trPr>
          <w:tblHeader w:val="off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Net contract price (excl. GST)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7.86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78.57</w:t>
            </w:r>
          </w:p>
        </w:tc>
      </w:tr>
      <w:tr>
        <w:trPr>
          <w:tblHeader w:val="off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Indicative USD equivalent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0.0827 USD/Wp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USD 8.27 million @ 94.95 INR/USD</w:t>
            </w:r>
          </w:p>
        </w:tc>
      </w:tr>
    </w:tbl>
    <w:p>
      <w:pPr>
        <w:pStyle w:val="Heading2"/>
        <w:spacing w:after="100" w:before="200"/>
      </w:pPr>
      <w:r>
        <w:t xml:space="preserve">3. Commercial terms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Payment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10% advance against advance bank guarantee; 80% pro-rata on delivery; 10% on commissioning.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Delivery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First shipment Mar-2027, final shipment May-2027, subject to order and advance by 15-Dec-2026.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Warranty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 years structural; 5 years drives, motors and controllers. Optional extension of electronics warranty to 10 years available on request.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Steel price adjustment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Price based on the steel index at quotation date. Index moves beyond ±5% before the steel purchase date are shared 50/50.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Currency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Price fixed in INR. Imported electronics content (about 19% of cost) is hedged by SunAxis; no FX pass-through to the customer.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Liquidated damages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0.5% per week of delayed value, capped at 5%.</w:t>
            </w:r>
          </w:p>
        </w:tc>
      </w:tr>
    </w:tbl>
    <w:p>
      <w:pPr>
        <w:pStyle w:val="Heading2"/>
        <w:spacing w:after="100" w:before="200"/>
      </w:pPr>
      <w:r>
        <w:t xml:space="preserve">4. Value to Thar Sun: tracker vs fixed-tilt (simulated)</w:t>
      </w:r>
    </w:p>
    <w:p>
      <w:pPr>
        <w:spacing w:after="100"/>
      </w:pPr>
      <w:r>
        <w:t xml:space="preserve">Energy yields come from PVGIS v5.3 (EU Joint Research Centre) for the project coordinates. PVGIS models ideal tracking, so our planning case counts only 70% of the simulated gain. Financial figures are pre-tax and incremental to the fixed-tilt option.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626"/>
      </w:tblGrid>
      <w:tr>
        <w:trPr>
          <w:tblHeader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rPr>
          <w:tblHeader w:val="off"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Simulated energy gain, PVGIS ideal single-axis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+24.3%</w:t>
            </w:r>
          </w:p>
        </w:tc>
      </w:tr>
      <w:tr>
        <w:trPr>
          <w:tblHeader w:val="off"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Planning-case energy gain used in economics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+17.0%</w:t>
            </w:r>
          </w:p>
        </w:tc>
      </w:tr>
      <w:tr>
        <w:trPr>
          <w:tblHeader w:val="off"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Additional energy, year 1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29.7 GWh</w:t>
            </w:r>
          </w:p>
        </w:tc>
      </w:tr>
      <w:tr>
        <w:trPr>
          <w:tblHeader w:val="off"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Incremental capex vs fixed-tilt structure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INR 38.57 crore</w:t>
            </w:r>
          </w:p>
        </w:tc>
      </w:tr>
      <w:tr>
        <w:trPr>
          <w:tblHeader w:val="off"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NPV of choosing the tracker (9% discount rate)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INR 26.81 crore</w:t>
            </w:r>
          </w:p>
        </w:tc>
      </w:tr>
      <w:tr>
        <w:trPr>
          <w:tblHeader w:val="off"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IRR / simple payback of the tracker upgrade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17.3% / 5.5 years</w:t>
            </w:r>
          </w:p>
        </w:tc>
      </w:tr>
      <w:tr>
        <w:trPr>
          <w:tblHeader w:val="off"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Break-even tracker price (NPV = 0)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INR 10.54/Wp, vs. quoted INR 7.86/Wp</w:t>
            </w:r>
          </w:p>
        </w:tc>
      </w:tr>
      <w:tr>
        <w:trPr>
          <w:tblHeader w:val="off"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Project LCOE: fixed-tilt → tracker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INR 2.43 → 2.31 /kWh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Why SunAxis over a lower-priced tracker: </w:t>
      </w:r>
      <w:r>
        <w:t xml:space="preserve">our price is INR 0.26/Wp (INR 2.57 crore) above the competitor offer. That difference is recovered if our tracker delivers 1.05 GWh/yr more energy, 0.60% of fixed-tilt yield, through backtracking, availability and stow strategy. We are prepared to back this with an independent energy-yield review.</w:t>
      </w:r>
    </w:p>
    <w:p>
      <w:pPr>
        <w:spacing w:after="100"/>
      </w:pPr>
      <w:r>
        <w:rPr>
          <w:i/>
          <w:iCs/>
          <w:sz w:val="18"/>
          <w:szCs w:val="18"/>
        </w:rPr>
        <w:t xml:space="preserve">This quotation is non-binding until confirmed by a signed supply agreement.</w:t>
      </w:r>
    </w:p>
    <w:sectPr>
      <w:footerReference w:type="default" r:id="rId6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SunAxis Trackers | Quotation SAX-Q-2026-0147 | FICTIONAL  |  Page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3864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2026-10-24T18:10:36.061Z</dcterms:created>
  <dcterms:modified xsi:type="dcterms:W3CDTF">2026-10-24T18:10:36.061Z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