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6"/>
          <w:szCs w:val="36"/>
        </w:rPr>
        <w:t xml:space="preserve">Results &amp; Conclusion — Presenter Script &amp; Q&amp;A Prep</w:t>
      </w:r>
    </w:p>
    <w:p>
      <w:pPr>
        <w:spacing w:after="40"/>
      </w:pPr>
      <w:r>
        <w:rPr>
          <w:i/>
          <w:iCs/>
          <w:color w:val="595959"/>
          <w:sz w:val="20"/>
          <w:szCs w:val="20"/>
        </w:rPr>
        <w:t xml:space="preserve">Association Between Mechanical Power and 28-Day Mortality in Mechanically Ventilated ICU Patients: A Retrospective Cohort Analysis of the MIMIC-IV Database</w:t>
      </w:r>
    </w:p>
    <w:p>
      <w:pPr>
        <w:pBdr>
          <w:bottom w:val="single" w:color="1F4E79" w:sz="6" w:space="4"/>
        </w:pBdr>
        <w:spacing w:after="200"/>
      </w:pPr>
      <w:r>
        <w:rPr>
          <w:color w:val="595959"/>
          <w:sz w:val="20"/>
          <w:szCs w:val="20"/>
        </w:rPr>
        <w:t xml:space="preserve">Poster Day  ·  ~3.5-minute Results + Conclusion segment (the closer)  ·  presenter cue copy</w:t>
      </w:r>
    </w:p>
    <w:p>
      <w:pPr>
        <w:pBdr>
          <w:top w:val="single" w:color="E0A800" w:sz="8" w:space="6"/>
          <w:bottom w:val="single" w:color="E0A800" w:sz="8" w:space="6"/>
        </w:pBdr>
        <w:shd w:fill="FFF3CD" w:val="clear"/>
        <w:spacing w:after="160" w:before="120" w:line="264"/>
      </w:pPr>
      <w:r>
        <w:rPr>
          <w:b/>
          <w:bCs/>
          <w:color w:val="856404"/>
        </w:rPr>
        <w:t xml:space="preserve">⚠ Team note — verify before poster day:  </w:t>
      </w:r>
      <w:r>
        <w:rPr>
          <w:color w:val="856404"/>
        </w:rPr>
        <w:t xml:space="preserve">The poster’s dose-response panel shows a restricted-cubic-spline curve labeled “p-nonlinearity 0.067,” but the manuscript presents this relationship as Kaplan–Meier survival by quartile — and 0.067 is also the manuscript’s oxygenation p-interaction. Confirm this p-value (and which figure to display) with Dr. Husam Alahmadi. On stage, describe the curve qualitatively (steady, essentially linear rise; no safe threshold) — do NOT recite a p-value for it.</w:t>
      </w:r>
    </w:p>
    <w:p>
      <w:pPr>
        <w:pStyle w:val="Heading1"/>
      </w:pPr>
      <w:r>
        <w:t xml:space="preserve">1.  Presentation Script  (~3.5 min)</w:t>
      </w:r>
    </w:p>
    <w:p>
      <w:pPr>
        <w:spacing w:after="160"/>
      </w:pPr>
      <w:r>
        <w:rPr>
          <w:i/>
          <w:iCs/>
          <w:color w:val="808080"/>
          <w:sz w:val="20"/>
          <w:szCs w:val="20"/>
        </w:rPr>
        <w:t xml:space="preserve">Read aloud naturally — contractions are intentional. Bold = numbers/phrases to stress.</w:t>
      </w:r>
    </w:p>
    <w:p>
      <w:pPr>
        <w:spacing w:after="160" w:line="276"/>
      </w:pPr>
      <w:r>
        <w:rPr>
          <w:b w:val="false"/>
          <w:bCs w:val="false"/>
          <w:i w:val="false"/>
          <w:iCs w:val="false"/>
        </w:rPr>
        <w:t xml:space="preserve">Thanks, everyone. So from our final cohort of </w:t>
      </w:r>
      <w:r>
        <w:rPr>
          <w:b/>
          <w:bCs/>
          <w:i w:val="false"/>
          <w:iCs w:val="false"/>
        </w:rPr>
        <w:t xml:space="preserve">18,980 ventilated adults</w:t>
      </w:r>
      <w:r>
        <w:rPr>
          <w:b w:val="false"/>
          <w:bCs w:val="false"/>
          <w:i w:val="false"/>
          <w:iCs w:val="false"/>
        </w:rPr>
        <w:t xml:space="preserve">, roughly </w:t>
      </w:r>
      <w:r>
        <w:rPr>
          <w:b/>
          <w:bCs/>
          <w:i w:val="false"/>
          <w:iCs w:val="false"/>
        </w:rPr>
        <w:t xml:space="preserve">one in five — 18.1 percent — died within 28 days</w:t>
      </w:r>
      <w:r>
        <w:rPr>
          <w:b w:val="false"/>
          <w:bCs w:val="false"/>
          <w:i w:val="false"/>
          <w:iCs w:val="false"/>
        </w:rPr>
        <w:t xml:space="preserve">. That’s the outcome we set out to explain — so let’s look at who those patients were.</w:t>
      </w:r>
    </w:p>
    <w:p>
      <w:pPr>
        <w:spacing w:after="160" w:line="276"/>
      </w:pPr>
      <w:r>
        <w:rPr>
          <w:b w:val="false"/>
          <w:bCs w:val="false"/>
          <w:i w:val="false"/>
          <w:iCs w:val="false"/>
        </w:rPr>
        <w:t xml:space="preserve">Start with this first table, the cohort comparison. The patients who died were sicker from the very start. They were older — a median of </w:t>
      </w:r>
      <w:r>
        <w:rPr>
          <w:b/>
          <w:bCs/>
          <w:i w:val="false"/>
          <w:iCs w:val="false"/>
        </w:rPr>
        <w:t xml:space="preserve">70 versus 64</w:t>
      </w:r>
      <w:r>
        <w:rPr>
          <w:b w:val="false"/>
          <w:bCs w:val="false"/>
          <w:i w:val="false"/>
          <w:iCs w:val="false"/>
        </w:rPr>
        <w:t xml:space="preserve">. They were far more often on blood-pressure support, which marks shock — </w:t>
      </w:r>
      <w:r>
        <w:rPr>
          <w:b/>
          <w:bCs/>
          <w:i w:val="false"/>
          <w:iCs w:val="false"/>
        </w:rPr>
        <w:t xml:space="preserve">71 percent versus 51</w:t>
      </w:r>
      <w:r>
        <w:rPr>
          <w:b w:val="false"/>
          <w:bCs w:val="false"/>
          <w:i w:val="false"/>
          <w:iCs w:val="false"/>
        </w:rPr>
        <w:t xml:space="preserve"> — and far more often on continuous dialysis, a sign of severe kidney injury — </w:t>
      </w:r>
      <w:r>
        <w:rPr>
          <w:b/>
          <w:bCs/>
          <w:i w:val="false"/>
          <w:iCs w:val="false"/>
        </w:rPr>
        <w:t xml:space="preserve">14 percent versus just 3</w:t>
      </w:r>
      <w:r>
        <w:rPr>
          <w:b w:val="false"/>
          <w:bCs w:val="false"/>
          <w:i w:val="false"/>
          <w:iCs w:val="false"/>
        </w:rPr>
        <w:t xml:space="preserve">. Their oxygenation was worse, too. And here’s the piece that matters: they’d also received clearly higher mechanical power — </w:t>
      </w:r>
      <w:r>
        <w:rPr>
          <w:b/>
          <w:bCs/>
          <w:i w:val="false"/>
          <w:iCs w:val="false"/>
        </w:rPr>
        <w:t xml:space="preserve">about 12 joules per minute versus about 9.6</w:t>
      </w:r>
      <w:r>
        <w:rPr>
          <w:b w:val="false"/>
          <w:bCs w:val="false"/>
          <w:i w:val="false"/>
          <w:iCs w:val="false"/>
        </w:rPr>
        <w:t xml:space="preserve"> in the survivors.</w:t>
      </w:r>
    </w:p>
    <w:p>
      <w:pPr>
        <w:spacing w:after="160" w:line="276"/>
      </w:pPr>
      <w:r>
        <w:rPr>
          <w:b w:val="false"/>
          <w:bCs w:val="false"/>
          <w:i w:val="false"/>
          <w:iCs w:val="false"/>
        </w:rPr>
        <w:t xml:space="preserve">So the obvious objection is: sure, sicker patients get more ventilator energy, and sicker patients die. But here’s the headline. After we statistically leveled that playing field — adjusting for age, shock, dialysis, oxygenation, all of it — every extra one joule per minute of mechanical power was still linked to about a </w:t>
      </w:r>
      <w:r>
        <w:rPr>
          <w:b/>
          <w:bCs/>
          <w:i w:val="false"/>
          <w:iCs w:val="false"/>
        </w:rPr>
        <w:t xml:space="preserve">9 percent increase in the odds of dying</w:t>
      </w:r>
      <w:r>
        <w:rPr>
          <w:b w:val="false"/>
          <w:bCs w:val="false"/>
          <w:i w:val="false"/>
          <w:iCs w:val="false"/>
        </w:rPr>
        <w:t xml:space="preserve"> within 28 days. An </w:t>
      </w:r>
      <w:r>
        <w:rPr>
          <w:b/>
          <w:bCs/>
          <w:i w:val="false"/>
          <w:iCs w:val="false"/>
        </w:rPr>
        <w:t xml:space="preserve">odds ratio of 1.09</w:t>
      </w:r>
      <w:r>
        <w:rPr>
          <w:b w:val="false"/>
          <w:bCs w:val="false"/>
          <w:i w:val="false"/>
          <w:iCs w:val="false"/>
        </w:rPr>
        <w:t xml:space="preserve">. In plain terms: turn the dial up by one unit, and the odds of death go up by roughly 9 percent. </w:t>
      </w:r>
      <w:r>
        <w:rPr>
          <w:b w:val="false"/>
          <w:bCs w:val="false"/>
          <w:i/>
          <w:iCs/>
        </w:rPr>
        <w:t xml:space="preserve">Nine percent sounds small — but it compounds, because real patients differ by many units.</w:t>
      </w:r>
      <w:r>
        <w:rPr>
          <w:b w:val="false"/>
          <w:bCs w:val="false"/>
          <w:i w:val="false"/>
          <w:iCs w:val="false"/>
        </w:rPr>
        <w:t xml:space="preserve"> And notice: dialysis was a much stronger individual predictor, more than tripling the odds. But power didn’t disappear behind it. The energy itself still predicted death, </w:t>
      </w:r>
      <w:r>
        <w:rPr>
          <w:b/>
          <w:bCs/>
          <w:i w:val="false"/>
          <w:iCs w:val="false"/>
        </w:rPr>
        <w:t xml:space="preserve">on its own</w:t>
      </w:r>
      <w:r>
        <w:rPr>
          <w:b w:val="false"/>
          <w:bCs w:val="false"/>
          <w:i w:val="false"/>
          <w:iCs w:val="false"/>
        </w:rPr>
        <w:t xml:space="preserve">.</w:t>
      </w:r>
    </w:p>
    <w:p>
      <w:pPr>
        <w:spacing w:after="160" w:line="276"/>
      </w:pPr>
      <w:r>
        <w:rPr>
          <w:b w:val="false"/>
          <w:bCs w:val="false"/>
          <w:i w:val="false"/>
          <w:iCs w:val="false"/>
        </w:rPr>
        <w:t xml:space="preserve">Now point your eyes to this curve, the dose-response. Take the middle of our cohort, around 10 joules per minute, as the reference. As power climbs, the odds of death climb steadily right alongside it — </w:t>
      </w:r>
      <w:r>
        <w:rPr>
          <w:b/>
          <w:bCs/>
          <w:i w:val="false"/>
          <w:iCs w:val="false"/>
        </w:rPr>
        <w:t xml:space="preserve">no plateau, no flattening out, no obvious safe threshold</w:t>
      </w:r>
      <w:r>
        <w:rPr>
          <w:b w:val="false"/>
          <w:bCs w:val="false"/>
          <w:i w:val="false"/>
          <w:iCs w:val="false"/>
        </w:rPr>
        <w:t xml:space="preserve">. By the high end of the range, the odds are several times higher than at the median. And here’s what should stick: the risk is </w:t>
      </w:r>
      <w:r>
        <w:rPr>
          <w:b/>
          <w:bCs/>
          <w:i w:val="false"/>
          <w:iCs w:val="false"/>
        </w:rPr>
        <w:t xml:space="preserve">already rising inside the range we usually call acceptable</w:t>
      </w:r>
      <w:r>
        <w:rPr>
          <w:b w:val="false"/>
          <w:bCs w:val="false"/>
          <w:i w:val="false"/>
          <w:iCs w:val="false"/>
        </w:rPr>
        <w:t xml:space="preserve">. There’s no clean cut-off below which you’re safe.</w:t>
      </w:r>
    </w:p>
    <w:p>
      <w:pPr>
        <w:spacing w:after="160" w:line="276"/>
      </w:pPr>
      <w:r>
        <w:rPr>
          <w:b w:val="false"/>
          <w:bCs w:val="false"/>
          <w:i w:val="false"/>
          <w:iCs w:val="false"/>
        </w:rPr>
        <w:t xml:space="preserve">Two quick robustness checks. First, we measured power three different ways — a time-weighted average, a daily median, and a total cumulative dose — and all three pointed the same way, so the finding isn’t an artifact of one definition. And second, this forest plot: when we split the cohort by oxygenation, by lung size, and by age, the effect barely budged — it stayed in a tight band, </w:t>
      </w:r>
      <w:r>
        <w:rPr>
          <w:b/>
          <w:bCs/>
          <w:i w:val="false"/>
          <w:iCs w:val="false"/>
        </w:rPr>
        <w:t xml:space="preserve">1.08 to 1.10</w:t>
      </w:r>
      <w:r>
        <w:rPr>
          <w:b w:val="false"/>
          <w:bCs w:val="false"/>
          <w:i w:val="false"/>
          <w:iCs w:val="false"/>
        </w:rPr>
        <w:t xml:space="preserve">, with no significant difference between any of the groups. In other words, </w:t>
      </w:r>
      <w:r>
        <w:rPr>
          <w:b/>
          <w:bCs/>
          <w:i w:val="false"/>
          <w:iCs w:val="false"/>
        </w:rPr>
        <w:t xml:space="preserve">no subgroup was spared</w:t>
      </w:r>
      <w:r>
        <w:rPr>
          <w:b w:val="false"/>
          <w:bCs w:val="false"/>
          <w:i w:val="false"/>
          <w:iCs w:val="false"/>
        </w:rPr>
        <w:t xml:space="preserve">.</w:t>
      </w:r>
    </w:p>
    <w:p>
      <w:pPr>
        <w:spacing w:after="160" w:line="276"/>
      </w:pPr>
      <w:r>
        <w:rPr>
          <w:b w:val="false"/>
          <w:bCs w:val="false"/>
          <w:i w:val="false"/>
          <w:iCs w:val="false"/>
        </w:rPr>
        <w:t xml:space="preserve">So what does it all mean? Four things. </w:t>
      </w:r>
      <w:r>
        <w:rPr>
          <w:b/>
          <w:bCs/>
          <w:i w:val="false"/>
          <w:iCs w:val="false"/>
        </w:rPr>
        <w:t xml:space="preserve">First</w:t>
      </w:r>
      <w:r>
        <w:rPr>
          <w:b w:val="false"/>
          <w:bCs w:val="false"/>
          <w:i w:val="false"/>
          <w:iCs w:val="false"/>
        </w:rPr>
        <w:t xml:space="preserve">, mechanical power is independently and consistently tied to mortality — not just a marker of sicker patients. </w:t>
      </w:r>
      <w:r>
        <w:rPr>
          <w:b/>
          <w:bCs/>
          <w:i w:val="false"/>
          <w:iCs w:val="false"/>
        </w:rPr>
        <w:t xml:space="preserve">Second</w:t>
      </w:r>
      <w:r>
        <w:rPr>
          <w:b w:val="false"/>
          <w:bCs w:val="false"/>
          <w:i w:val="false"/>
          <w:iCs w:val="false"/>
        </w:rPr>
        <w:t xml:space="preserve">, the relationship is graded and dose-dependent — a steady climb, not a single danger line you cross. </w:t>
      </w:r>
      <w:r>
        <w:rPr>
          <w:b/>
          <w:bCs/>
          <w:i w:val="false"/>
          <w:iCs w:val="false"/>
        </w:rPr>
        <w:t xml:space="preserve">Third</w:t>
      </w:r>
      <w:r>
        <w:rPr>
          <w:b w:val="false"/>
          <w:bCs w:val="false"/>
          <w:i w:val="false"/>
          <w:iCs w:val="false"/>
        </w:rPr>
        <w:t xml:space="preserve">, it held across every subgroup we tested — no group is exempt. And </w:t>
      </w:r>
      <w:r>
        <w:rPr>
          <w:b/>
          <w:bCs/>
          <w:i w:val="false"/>
          <w:iCs w:val="false"/>
        </w:rPr>
        <w:t xml:space="preserve">fourth</w:t>
      </w:r>
      <w:r>
        <w:rPr>
          <w:b w:val="false"/>
          <w:bCs w:val="false"/>
          <w:i w:val="false"/>
          <w:iCs w:val="false"/>
        </w:rPr>
        <w:t xml:space="preserve">, the practical takeaway: watch mechanical power at the bedside, as a complement to the targets we already use, not a replacement. The first day on the ventilator is an actionable window.</w:t>
      </w:r>
    </w:p>
    <w:p>
      <w:pPr>
        <w:spacing w:after="160" w:line="276"/>
      </w:pPr>
      <w:r>
        <w:rPr>
          <w:b w:val="false"/>
          <w:bCs w:val="false"/>
          <w:i w:val="false"/>
          <w:iCs w:val="false"/>
        </w:rPr>
        <w:t xml:space="preserve">One honest caveat: this is observational and single-center, so it shows </w:t>
      </w:r>
      <w:r>
        <w:rPr>
          <w:b/>
          <w:bCs/>
          <w:i w:val="false"/>
          <w:iCs w:val="false"/>
        </w:rPr>
        <w:t xml:space="preserve">association, not proof of cause</w:t>
      </w:r>
      <w:r>
        <w:rPr>
          <w:b w:val="false"/>
          <w:bCs w:val="false"/>
          <w:i w:val="false"/>
          <w:iCs w:val="false"/>
        </w:rPr>
        <w:t xml:space="preserve"> — and prospective trials are the next step.</w:t>
      </w:r>
    </w:p>
    <w:p>
      <w:pPr>
        <w:spacing w:after="160" w:line="276"/>
      </w:pPr>
      <w:r>
        <w:rPr>
          <w:b w:val="false"/>
          <w:bCs w:val="false"/>
          <w:i w:val="false"/>
          <w:iCs w:val="false"/>
        </w:rPr>
        <w:t xml:space="preserve">With that, thank you all so much for listening — and we’d be glad to take your questions.</w:t>
      </w:r>
    </w:p>
    <w:p>
      <w:pPr>
        <w:pStyle w:val="Heading1"/>
      </w:pPr>
      <w:r>
        <w:t xml:space="preserve">2.  Delivery Notes</w:t>
      </w:r>
    </w:p>
    <w:p>
      <w:pPr>
        <w:pStyle w:val="ListParagraph"/>
        <w:numPr>
          <w:ilvl w:val="0"/>
          <w:numId w:val="2"/>
        </w:numPr>
        <w:spacing w:after="100" w:line="264"/>
      </w:pPr>
      <w:r>
        <w:t xml:space="preserve">Open on the handoff (“Thanks, everyone”) — it picks up from the methodology speaker. Land “18,980” and “one in five — 18.1 percent,” then move on; don’t re-explain the cohort or database.</w:t>
      </w:r>
    </w:p>
    <w:p>
      <w:pPr>
        <w:pStyle w:val="ListParagraph"/>
        <w:numPr>
          <w:ilvl w:val="0"/>
          <w:numId w:val="2"/>
        </w:numPr>
        <w:spacing w:after="100" w:line="264"/>
      </w:pPr>
      <w:r>
        <w:t xml:space="preserve">Point to the COHORT COMPARISON table in paragraph 2. Group the “sicker-from-the-start” facts quickly, then stress the power line — “about 12 versus about 9.6” — as the hook into the main result.</w:t>
      </w:r>
    </w:p>
    <w:p>
      <w:pPr>
        <w:pStyle w:val="ListParagraph"/>
        <w:numPr>
          <w:ilvl w:val="0"/>
          <w:numId w:val="2"/>
        </w:numPr>
        <w:spacing w:after="100" w:line="264"/>
      </w:pPr>
      <w:r>
        <w:t xml:space="preserve">Slow down on the HEADLINE paragraph. Pause before “here’s the headline.” Land “odds ratio of 1.09,” give the plain-English line, then the “compounds” aside. Emphasize “on its own” to close the not-just-sicker arc.</w:t>
      </w:r>
    </w:p>
    <w:p>
      <w:pPr>
        <w:pStyle w:val="ListParagraph"/>
        <w:numPr>
          <w:ilvl w:val="0"/>
          <w:numId w:val="2"/>
        </w:numPr>
        <w:spacing w:after="100" w:line="264"/>
      </w:pPr>
      <w:r>
        <w:t xml:space="preserve">Gesture to the DOSE-RESPONSE curve and trace the rise with your hand. Stress “no obvious safe threshold” and “already rising inside the range we usually call acceptable.” Do NOT recite any p-value here (see Team Note).</w:t>
      </w:r>
    </w:p>
    <w:p>
      <w:pPr>
        <w:pStyle w:val="ListParagraph"/>
        <w:numPr>
          <w:ilvl w:val="0"/>
          <w:numId w:val="2"/>
        </w:numPr>
        <w:spacing w:after="100" w:line="264"/>
      </w:pPr>
      <w:r>
        <w:t xml:space="preserve">Robustness/subgroups: keep the two checks DISTINCT — first the three measurement methods (sensitivity), then point to the FOREST PLOT for the subgroup splits. End hard on “no subgroup was spared.”</w:t>
      </w:r>
    </w:p>
    <w:p>
      <w:pPr>
        <w:pStyle w:val="ListParagraph"/>
        <w:numPr>
          <w:ilvl w:val="0"/>
          <w:numId w:val="2"/>
        </w:numPr>
        <w:spacing w:after="100" w:line="264"/>
      </w:pPr>
      <w:r>
        <w:t xml:space="preserve">Conclusion: count the four take-homes on your fingers if it helps pacing. Keep the limits sentence quick and unapologetic — one breath; it builds credibility.</w:t>
      </w:r>
    </w:p>
    <w:p>
      <w:pPr>
        <w:pStyle w:val="ListParagraph"/>
        <w:numPr>
          <w:ilvl w:val="0"/>
          <w:numId w:val="2"/>
        </w:numPr>
        <w:spacing w:after="100" w:line="264"/>
      </w:pPr>
      <w:r>
        <w:t xml:space="preserve">Close warmly, slow down, make eye contact, invite questions. Do NOT add new numbers here. Optional: a one-line thanks to Dr. Husam Alahmadi before “thank you all.”</w:t>
      </w:r>
    </w:p>
    <w:p>
      <w:pPr>
        <w:pStyle w:val="ListParagraph"/>
        <w:numPr>
          <w:ilvl w:val="0"/>
          <w:numId w:val="2"/>
        </w:numPr>
        <w:spacing w:after="100" w:line="264"/>
      </w:pPr>
      <w:r>
        <w:t xml:space="preserve">~510 words ≈ 3.3 minutes at a measured pace. If running long, trim the cohort-table extras (male %, pneumonia) first — keep all four poster panels.</w:t>
      </w:r>
    </w:p>
    <w:p>
      <w:pPr>
        <w:pStyle w:val="Heading1"/>
      </w:pPr>
      <w:r>
        <w:t xml:space="preserve">3.  Q&amp;A Preparation</w:t>
      </w:r>
    </w:p>
    <w:p>
      <w:pPr>
        <w:spacing w:after="160"/>
      </w:pPr>
      <w:r>
        <w:rPr>
          <w:i/>
          <w:iCs/>
          <w:color w:val="808080"/>
          <w:sz w:val="20"/>
          <w:szCs w:val="20"/>
        </w:rPr>
        <w:t xml:space="preserve">Verified clean against the manuscript by two independent fact-checkers. Answers are written to say out loud.</w:t>
      </w:r>
    </w:p>
    <w:p>
      <w:pPr>
        <w:pStyle w:val="Heading2"/>
      </w:pPr>
      <w:r>
        <w:t xml:space="preserve">1) Cohort comparison — who died</w:t>
      </w:r>
    </w:p>
    <w:p>
      <w:pPr>
        <w:spacing w:after="40" w:before="120"/>
      </w:pPr>
      <w:r>
        <w:rPr>
          <w:b/>
          <w:bCs/>
          <w:color w:val="1F4E79"/>
        </w:rPr>
        <w:t xml:space="preserve">Q. </w:t>
      </w:r>
      <w:r>
        <w:rPr>
          <w:b/>
          <w:bCs/>
        </w:rPr>
        <w:t xml:space="preserve">In plain terms, what made the patients who died different from those who survived?</w:t>
      </w:r>
      <w:r>
        <w:rPr>
          <w:i/>
          <w:iCs/>
          <w:color w:val="808080"/>
          <w:sz w:val="18"/>
          <w:szCs w:val="18"/>
        </w:rPr>
        <w:t xml:space="preserve">   [basic]</w:t>
      </w:r>
    </w:p>
    <w:p>
      <w:pPr>
        <w:spacing w:after="140" w:line="264"/>
        <w:ind w:left="240"/>
      </w:pPr>
      <w:r>
        <w:rPr>
          <w:b/>
          <w:bCs/>
          <w:color w:val="548235"/>
        </w:rPr>
        <w:t xml:space="preserve">A. </w:t>
      </w:r>
      <w:r>
        <w:t xml:space="preserve">They were sicker from the start. They were older — around 70 versus 64 — and far more needed vasopressors, a blood-pressure-support drug marking shock (71% vs 51%). They were also much more likely to be on CRRT, continuous dialysis for severe kidney failure (14% vs 3%), and had worse oxygenation. And importantly, they were receiving more ventilator energy — about 12 versus 9.6 J/min.</w:t>
      </w:r>
    </w:p>
    <w:p>
      <w:pPr>
        <w:spacing w:after="40" w:before="120"/>
      </w:pPr>
      <w:r>
        <w:rPr>
          <w:b/>
          <w:bCs/>
          <w:color w:val="1F4E79"/>
        </w:rPr>
        <w:t xml:space="preserve">Q. </w:t>
      </w:r>
      <w:r>
        <w:rPr>
          <w:b/>
          <w:bCs/>
        </w:rPr>
        <w:t xml:space="preserve">What was the overall death rate?</w:t>
      </w:r>
      <w:r>
        <w:rPr>
          <w:i/>
          <w:iCs/>
          <w:color w:val="808080"/>
          <w:sz w:val="18"/>
          <w:szCs w:val="18"/>
        </w:rPr>
        <w:t xml:space="preserve">   [basic]</w:t>
      </w:r>
    </w:p>
    <w:p>
      <w:pPr>
        <w:spacing w:after="140" w:line="264"/>
        <w:ind w:left="240"/>
      </w:pPr>
      <w:r>
        <w:rPr>
          <w:b/>
          <w:bCs/>
          <w:color w:val="548235"/>
        </w:rPr>
        <w:t xml:space="preserve">A. </w:t>
      </w:r>
      <w:r>
        <w:t xml:space="preserve">Of our 18,980 ventilated adults, 3,428 died within 28 days — 18.1%, so roughly one in five. The remaining 81.9% survived. That’s fairly typical for a broad, mixed ICU population on mechanical ventilation.</w:t>
      </w:r>
    </w:p>
    <w:p>
      <w:pPr>
        <w:spacing w:after="40" w:before="120"/>
      </w:pPr>
      <w:r>
        <w:rPr>
          <w:b/>
          <w:bCs/>
          <w:color w:val="1F4E79"/>
        </w:rPr>
        <w:t xml:space="preserve">Q. </w:t>
      </w:r>
      <w:r>
        <w:rPr>
          <w:b/>
          <w:bCs/>
        </w:rPr>
        <w:t xml:space="preserve">Your table shows asthma was LESS common in the patients who died. Isn’t that backwards for a lung study?</w:t>
      </w:r>
      <w:r>
        <w:rPr>
          <w:i/>
          <w:iCs/>
          <w:color w:val="808080"/>
          <w:sz w:val="18"/>
          <w:szCs w:val="18"/>
        </w:rPr>
        <w:t xml:space="preserve">   [intermediate]</w:t>
      </w:r>
    </w:p>
    <w:p>
      <w:pPr>
        <w:spacing w:after="140" w:line="264"/>
        <w:ind w:left="240"/>
      </w:pPr>
      <w:r>
        <w:rPr>
          <w:b/>
          <w:bCs/>
          <w:color w:val="548235"/>
        </w:rPr>
        <w:t xml:space="preserve">A. </w:t>
      </w:r>
      <w:r>
        <w:t xml:space="preserve">It looks odd, but it makes sense. Asthma was less common in non-survivors (7.4% vs 11.7%), likely reflecting who gets admitted with asthma — they tend to be younger and otherwise healthier, and once stabilized usually do well. So it’s a marker of a more recoverable patient, not a driver of death — a baseline difference between groups, not something our main analysis hinges on.</w:t>
      </w:r>
    </w:p>
    <w:p>
      <w:pPr>
        <w:spacing w:after="40" w:before="120"/>
      </w:pPr>
      <w:r>
        <w:rPr>
          <w:b/>
          <w:bCs/>
          <w:color w:val="1F4E79"/>
        </w:rPr>
        <w:t xml:space="preserve">Q. </w:t>
      </w:r>
      <w:r>
        <w:rPr>
          <w:b/>
          <w:bCs/>
        </w:rPr>
        <w:t xml:space="preserve">Why didn’t COPD or heart failure differ between groups, when you’d expect them to be deadly?</w:t>
      </w:r>
      <w:r>
        <w:rPr>
          <w:i/>
          <w:iCs/>
          <w:color w:val="808080"/>
          <w:sz w:val="18"/>
          <w:szCs w:val="18"/>
        </w:rPr>
        <w:t xml:space="preserve">   [intermediate]</w:t>
      </w:r>
    </w:p>
    <w:p>
      <w:pPr>
        <w:spacing w:after="140" w:line="264"/>
        <w:ind w:left="240"/>
      </w:pPr>
      <w:r>
        <w:rPr>
          <w:b/>
          <w:bCs/>
          <w:color w:val="548235"/>
        </w:rPr>
        <w:t xml:space="preserve">A. </w:t>
      </w:r>
      <w:r>
        <w:t xml:space="preserve">Their rates were essentially identical — COPD 17.9% vs 16.8%, heart failure 29.6% in each — neither significant. In this ventilated population, simply carrying that diagnosis didn’t separate who lived from who died; what patients were doing acutely (shock, kidney failure, oxygenation, ventilator energy) mattered more than the chronic label. We did include pulmonary phenotype as a covariate, so it was accounted for in the adjusted model.</w:t>
      </w:r>
    </w:p>
    <w:p>
      <w:pPr>
        <w:spacing w:after="40" w:before="120"/>
      </w:pPr>
      <w:r>
        <w:rPr>
          <w:b/>
          <w:bCs/>
          <w:color w:val="1F4E79"/>
        </w:rPr>
        <w:t xml:space="preserve">Q. </w:t>
      </w:r>
      <w:r>
        <w:rPr>
          <w:b/>
          <w:bCs/>
        </w:rPr>
        <w:t xml:space="preserve">Non-survivors got higher power, but they were also sicker. Doesn’t that higher power just reflect being sicker?</w:t>
      </w:r>
      <w:r>
        <w:rPr>
          <w:i/>
          <w:iCs/>
          <w:color w:val="808080"/>
          <w:sz w:val="18"/>
          <w:szCs w:val="18"/>
        </w:rPr>
        <w:t xml:space="preserve">   [tough]</w:t>
      </w:r>
    </w:p>
    <w:p>
      <w:pPr>
        <w:spacing w:after="140" w:line="264"/>
        <w:ind w:left="240"/>
      </w:pPr>
      <w:r>
        <w:rPr>
          <w:b/>
          <w:bCs/>
          <w:color w:val="548235"/>
        </w:rPr>
        <w:t xml:space="preserve">A. </w:t>
      </w:r>
      <w:r>
        <w:t xml:space="preserve">That’s exactly the right question, and on the table alone you’re correct — the raw difference proves nothing on its own. Sicker patients tend to be ventilated harder, so power and severity are tangled. That’s why we don’t rely on the table: in our multivariable model, adjusting for age, oxygenation, vasopressors, CRRT, body weight, sex, and phenotype, the power signal still held — about 9% higher odds per unit. So the association persists on top of how sick they already were.</w:t>
      </w:r>
    </w:p>
    <w:p>
      <w:pPr>
        <w:spacing w:after="40" w:before="120"/>
      </w:pPr>
      <w:r>
        <w:rPr>
          <w:b/>
          <w:bCs/>
          <w:color w:val="1F4E79"/>
        </w:rPr>
        <w:t xml:space="preserve">Q. </w:t>
      </w:r>
      <w:r>
        <w:rPr>
          <w:b/>
          <w:bCs/>
        </w:rPr>
        <w:t xml:space="preserve">If you’d only had the table and not the regression, could you have concluded anything about mechanical power?</w:t>
      </w:r>
      <w:r>
        <w:rPr>
          <w:i/>
          <w:iCs/>
          <w:color w:val="808080"/>
          <w:sz w:val="18"/>
          <w:szCs w:val="18"/>
        </w:rPr>
        <w:t xml:space="preserve">   [tough]</w:t>
      </w:r>
    </w:p>
    <w:p>
      <w:pPr>
        <w:spacing w:after="140" w:line="264"/>
        <w:ind w:left="240"/>
      </w:pPr>
      <w:r>
        <w:rPr>
          <w:b/>
          <w:bCs/>
          <w:color w:val="548235"/>
        </w:rPr>
        <w:t xml:space="preserve">A. </w:t>
      </w:r>
      <w:r>
        <w:t xml:space="preserve">Honestly, no. The table is unadjusted, so it can only show that higher power travels alongside death, not that it contributes. With confounders like shock and kidney failure baked in, the raw 12-vs-9.6 gap could be entirely explained by severity. The table generates the hypothesis; the adjusted model lets us say the signal is independent — and even then, because this is observational, we frame it as association, not proof of cause.</w:t>
      </w:r>
    </w:p>
    <w:p>
      <w:pPr>
        <w:pStyle w:val="Heading2"/>
      </w:pPr>
      <w:r>
        <w:t xml:space="preserve">2) The headline odds ratio (effect size)</w:t>
      </w:r>
    </w:p>
    <w:p>
      <w:pPr>
        <w:spacing w:after="40" w:before="120"/>
      </w:pPr>
      <w:r>
        <w:rPr>
          <w:b/>
          <w:bCs/>
          <w:color w:val="1F4E79"/>
        </w:rPr>
        <w:t xml:space="preserve">Q. </w:t>
      </w:r>
      <w:r>
        <w:rPr>
          <w:b/>
          <w:bCs/>
        </w:rPr>
        <w:t xml:space="preserve">In simple terms, what does an odds ratio of 1.09 mean for a patient?</w:t>
      </w:r>
      <w:r>
        <w:rPr>
          <w:i/>
          <w:iCs/>
          <w:color w:val="808080"/>
          <w:sz w:val="18"/>
          <w:szCs w:val="18"/>
        </w:rPr>
        <w:t xml:space="preserve">   [basic]</w:t>
      </w:r>
    </w:p>
    <w:p>
      <w:pPr>
        <w:spacing w:after="140" w:line="264"/>
        <w:ind w:left="240"/>
      </w:pPr>
      <w:r>
        <w:rPr>
          <w:b/>
          <w:bCs/>
          <w:color w:val="548235"/>
        </w:rPr>
        <w:t xml:space="preserve">A. </w:t>
      </w:r>
      <w:r>
        <w:t xml:space="preserve">For every one extra unit of ventilator energy (J/min), the odds of dying within 28 days went up by about 9%. So a patient receiving one unit more power had roughly 9% higher odds of death than an otherwise similar patient. It’s a per-unit step — each additional unit adds another ~9% on top.</w:t>
      </w:r>
    </w:p>
    <w:p>
      <w:pPr>
        <w:spacing w:after="40" w:before="120"/>
      </w:pPr>
      <w:r>
        <w:rPr>
          <w:b/>
          <w:bCs/>
          <w:color w:val="1F4E79"/>
        </w:rPr>
        <w:t xml:space="preserve">Q. </w:t>
      </w:r>
      <w:r>
        <w:rPr>
          <w:b/>
          <w:bCs/>
        </w:rPr>
        <w:t xml:space="preserve">Nine percent per unit sounds quite small. Why should we care?</w:t>
      </w:r>
      <w:r>
        <w:rPr>
          <w:i/>
          <w:iCs/>
          <w:color w:val="808080"/>
          <w:sz w:val="18"/>
          <w:szCs w:val="18"/>
        </w:rPr>
        <w:t xml:space="preserve">   [basic]</w:t>
      </w:r>
    </w:p>
    <w:p>
      <w:pPr>
        <w:spacing w:after="140" w:line="264"/>
        <w:ind w:left="240"/>
      </w:pPr>
      <w:r>
        <w:rPr>
          <w:b/>
          <w:bCs/>
          <w:color w:val="548235"/>
        </w:rPr>
        <w:t xml:space="preserve">A. </w:t>
      </w:r>
      <w:r>
        <w:t xml:space="preserve">It sounds small for one unit, but it compounds because real patients differ by many units. The typical non-survivor sat around 12 J/min and the typical survivor around 9.6 — that gap alone is several units, each adding ~9%. Across the full range we saw, the adjusted odds at the high end were several times higher than at the median. A small per-unit number becomes a large real-life difference.</w:t>
      </w:r>
    </w:p>
    <w:p>
      <w:pPr>
        <w:spacing w:after="40" w:before="120"/>
      </w:pPr>
      <w:r>
        <w:rPr>
          <w:b/>
          <w:bCs/>
          <w:color w:val="1F4E79"/>
        </w:rPr>
        <w:t xml:space="preserve">Q. </w:t>
      </w:r>
      <w:r>
        <w:rPr>
          <w:b/>
          <w:bCs/>
        </w:rPr>
        <w:t xml:space="preserve">How do you know this is mechanical power and not just that sicker patients get more power?</w:t>
      </w:r>
      <w:r>
        <w:rPr>
          <w:i/>
          <w:iCs/>
          <w:color w:val="808080"/>
          <w:sz w:val="18"/>
          <w:szCs w:val="18"/>
        </w:rPr>
        <w:t xml:space="preserve">   [intermediate]</w:t>
      </w:r>
    </w:p>
    <w:p>
      <w:pPr>
        <w:spacing w:after="140" w:line="264"/>
        <w:ind w:left="240"/>
      </w:pPr>
      <w:r>
        <w:rPr>
          <w:b/>
          <w:bCs/>
          <w:color w:val="548235"/>
        </w:rPr>
        <w:t xml:space="preserve">A. </w:t>
      </w:r>
      <w:r>
        <w:t xml:space="preserve">That’s exactly the worry we tried to address. We adjusted for the main markers of how sick patients were — age, oxygenation, blood-pressure-support drugs, dialysis — and the power signal still held up independently. In fact dialysis was the single strongest predictor (more than tripling the odds) and shock drugs raised them by about half, yet mechanical power remained its own significant signal. It can’t fully rule out that sicker lungs get more power, but the independent association survived heavy adjustment.</w:t>
      </w:r>
    </w:p>
    <w:p>
      <w:pPr>
        <w:spacing w:after="40" w:before="120"/>
      </w:pPr>
      <w:r>
        <w:rPr>
          <w:b/>
          <w:bCs/>
          <w:color w:val="1F4E79"/>
        </w:rPr>
        <w:t xml:space="preserve">Q. </w:t>
      </w:r>
      <w:r>
        <w:rPr>
          <w:b/>
          <w:bCs/>
        </w:rPr>
        <w:t xml:space="preserve">CRRT had an OR of 3.39 and vasopressors 1.56. Doesn’t that make mechanical power fairly trivial by comparison?</w:t>
      </w:r>
      <w:r>
        <w:rPr>
          <w:i/>
          <w:iCs/>
          <w:color w:val="808080"/>
          <w:sz w:val="18"/>
          <w:szCs w:val="18"/>
        </w:rPr>
        <w:t xml:space="preserve">   [intermediate]</w:t>
      </w:r>
    </w:p>
    <w:p>
      <w:pPr>
        <w:spacing w:after="140" w:line="264"/>
        <w:ind w:left="240"/>
      </w:pPr>
      <w:r>
        <w:rPr>
          <w:b/>
          <w:bCs/>
          <w:color w:val="548235"/>
        </w:rPr>
        <w:t xml:space="preserve">A. </w:t>
      </w:r>
      <w:r>
        <w:t xml:space="preserve">Those carry bigger single odds ratios — which makes sense, because they flag patients already critically ill. But they’re yes/no risk markers you can’t really turn down, whereas mechanical power is a continuous dose the clinician actually sets and can adjust. So even with a smaller per-unit number, it’s one of the few items on this list we can modify at the bedside — which is what makes it clinically interesting.</w:t>
      </w:r>
    </w:p>
    <w:p>
      <w:pPr>
        <w:spacing w:after="40" w:before="120"/>
      </w:pPr>
      <w:r>
        <w:rPr>
          <w:b/>
          <w:bCs/>
          <w:color w:val="1F4E79"/>
        </w:rPr>
        <w:t xml:space="preserve">Q. </w:t>
      </w:r>
      <w:r>
        <w:rPr>
          <w:b/>
          <w:bCs/>
        </w:rPr>
        <w:t xml:space="preserve">Your confidence interval is 1.09 to 1.10 — extremely narrow. Is that suspiciously tight?</w:t>
      </w:r>
      <w:r>
        <w:rPr>
          <w:i/>
          <w:iCs/>
          <w:color w:val="808080"/>
          <w:sz w:val="18"/>
          <w:szCs w:val="18"/>
        </w:rPr>
        <w:t xml:space="preserve">   [tough]</w:t>
      </w:r>
    </w:p>
    <w:p>
      <w:pPr>
        <w:spacing w:after="140" w:line="264"/>
        <w:ind w:left="240"/>
      </w:pPr>
      <w:r>
        <w:rPr>
          <w:b/>
          <w:bCs/>
          <w:color w:val="548235"/>
        </w:rPr>
        <w:t xml:space="preserve">A. </w:t>
      </w:r>
      <w:r>
        <w:t xml:space="preserve">It’s narrow mainly because we had a large cohort — nearly 19,000 patients — and per-unit estimates over many units give the model a lot of information, so the precision is expected, not suspicious. We also tested it three ways: the time-weighted average and the daily median both gave 9%, and cumulative power gave a consistent signal too, all highly significant. That consistency makes us confident the effect is real — though it’s still an association, not proof of cause.</w:t>
      </w:r>
    </w:p>
    <w:p>
      <w:pPr>
        <w:spacing w:after="40" w:before="120"/>
      </w:pPr>
      <w:r>
        <w:rPr>
          <w:b/>
          <w:bCs/>
          <w:color w:val="1F4E79"/>
        </w:rPr>
        <w:t xml:space="preserve">Q. </w:t>
      </w:r>
      <w:r>
        <w:rPr>
          <w:b/>
          <w:bCs/>
        </w:rPr>
        <w:t xml:space="preserve">Does the 9% effect stay constant across the whole power range, and is the relationship really linear?</w:t>
      </w:r>
      <w:r>
        <w:rPr>
          <w:i/>
          <w:iCs/>
          <w:color w:val="808080"/>
          <w:sz w:val="18"/>
          <w:szCs w:val="18"/>
        </w:rPr>
        <w:t xml:space="preserve">   [tough]</w:t>
      </w:r>
    </w:p>
    <w:p>
      <w:pPr>
        <w:spacing w:after="140" w:line="264"/>
        <w:ind w:left="240"/>
      </w:pPr>
      <w:r>
        <w:rPr>
          <w:b/>
          <w:bCs/>
          <w:color w:val="548235"/>
        </w:rPr>
        <w:t xml:space="preserve">A. </w:t>
      </w:r>
      <w:r>
        <w:t xml:space="preserve">On the poster the dose-response curve rises steadily across the range with no plateau and no obvious safe threshold, and we describe that rise as essentially linear, so the per-unit effect is roughly steady. I’d be honest that the manuscript tells this part slightly differently — using survival by power quartiles, where survival fell from about 89% in the lowest quartile to 70% in the highest. The exact nonlinearity statistic on the poster is one figure I’d confirm with our supervisor, but the qualitative message is consistent: risk climbs steadily, and it had already started below the conventional 17 J/min line.</w:t>
      </w:r>
    </w:p>
    <w:p>
      <w:pPr>
        <w:pStyle w:val="Heading2"/>
      </w:pPr>
      <w:r>
        <w:t xml:space="preserve">3) Dose–response &amp; thresholds</w:t>
      </w:r>
    </w:p>
    <w:p>
      <w:pPr>
        <w:spacing w:after="40" w:before="120"/>
      </w:pPr>
      <w:r>
        <w:rPr>
          <w:b/>
          <w:bCs/>
          <w:color w:val="1F4E79"/>
        </w:rPr>
        <w:t xml:space="preserve">Q. </w:t>
      </w:r>
      <w:r>
        <w:rPr>
          <w:b/>
          <w:bCs/>
        </w:rPr>
        <w:t xml:space="preserve">When you say the relationship is “graded” or “dose-dependent,” what does that mean?</w:t>
      </w:r>
      <w:r>
        <w:rPr>
          <w:i/>
          <w:iCs/>
          <w:color w:val="808080"/>
          <w:sz w:val="18"/>
          <w:szCs w:val="18"/>
        </w:rPr>
        <w:t xml:space="preserve">   [basic]</w:t>
      </w:r>
    </w:p>
    <w:p>
      <w:pPr>
        <w:spacing w:after="140" w:line="264"/>
        <w:ind w:left="240"/>
      </w:pPr>
      <w:r>
        <w:rPr>
          <w:b/>
          <w:bCs/>
          <w:color w:val="548235"/>
        </w:rPr>
        <w:t xml:space="preserve">A. </w:t>
      </w:r>
      <w:r>
        <w:t xml:space="preserve">Just: more energy, more risk, in a steady way — rather than a switch that flips at one point. As mechanical power goes up, the odds of dying climb gradually right along with it. It behaves less like a cliff edge and more like a ramp that keeps rising.</w:t>
      </w:r>
    </w:p>
    <w:p>
      <w:pPr>
        <w:spacing w:after="40" w:before="120"/>
      </w:pPr>
      <w:r>
        <w:rPr>
          <w:b/>
          <w:bCs/>
          <w:color w:val="1F4E79"/>
        </w:rPr>
        <w:t xml:space="preserve">Q. </w:t>
      </w:r>
      <w:r>
        <w:rPr>
          <w:b/>
          <w:bCs/>
        </w:rPr>
        <w:t xml:space="preserve">Your curve doesn’t flatten out. Why do you say there’s “no safe threshold”?</w:t>
      </w:r>
      <w:r>
        <w:rPr>
          <w:i/>
          <w:iCs/>
          <w:color w:val="808080"/>
          <w:sz w:val="18"/>
          <w:szCs w:val="18"/>
        </w:rPr>
        <w:t xml:space="preserve">   [basic]</w:t>
      </w:r>
    </w:p>
    <w:p>
      <w:pPr>
        <w:spacing w:after="140" w:line="264"/>
        <w:ind w:left="240"/>
      </w:pPr>
      <w:r>
        <w:rPr>
          <w:b/>
          <w:bCs/>
          <w:color w:val="548235"/>
        </w:rPr>
        <w:t xml:space="preserve">A. </w:t>
      </w:r>
      <w:r>
        <w:t xml:space="preserve">The curve rises steadily across the whole range with no plateau and no point where risk stops climbing. Usually we’d hope to see a flat “safe zone” at the low end and a sharp rise after some danger point — we didn’t find that. So at least in this data, there’s no clear cut-off below which we can call the ventilator energy truly safe.</w:t>
      </w:r>
    </w:p>
    <w:p>
      <w:pPr>
        <w:spacing w:after="40" w:before="120"/>
      </w:pPr>
      <w:r>
        <w:rPr>
          <w:b/>
          <w:bCs/>
          <w:color w:val="1F4E79"/>
        </w:rPr>
        <w:t xml:space="preserve">Q. </w:t>
      </w:r>
      <w:r>
        <w:rPr>
          <w:b/>
          <w:bCs/>
        </w:rPr>
        <w:t xml:space="preserve">Can you put numbers on that gradient — how does survival change as power goes up?</w:t>
      </w:r>
      <w:r>
        <w:rPr>
          <w:i/>
          <w:iCs/>
          <w:color w:val="808080"/>
          <w:sz w:val="18"/>
          <w:szCs w:val="18"/>
        </w:rPr>
        <w:t xml:space="preserve">   [intermediate]</w:t>
      </w:r>
    </w:p>
    <w:p>
      <w:pPr>
        <w:spacing w:after="140" w:line="264"/>
        <w:ind w:left="240"/>
      </w:pPr>
      <w:r>
        <w:rPr>
          <w:b/>
          <w:bCs/>
          <w:color w:val="548235"/>
        </w:rPr>
        <w:t xml:space="preserve">A. </w:t>
      </w:r>
      <w:r>
        <w:t xml:space="preserve">Yes. Splitting patients into four equal groups from lowest to highest power, estimated 28-day survival fell stepwise: about 89%, then 86, then 83, dropping to 70% in the highest-power group. So roughly 19 survival points between the lowest and highest quartile, and the steepest fall is into that top group.</w:t>
      </w:r>
    </w:p>
    <w:p>
      <w:pPr>
        <w:spacing w:after="40" w:before="120"/>
      </w:pPr>
      <w:r>
        <w:rPr>
          <w:b/>
          <w:bCs/>
          <w:color w:val="1F4E79"/>
        </w:rPr>
        <w:t xml:space="preserve">Q. </w:t>
      </w:r>
      <w:r>
        <w:rPr>
          <w:b/>
          <w:bCs/>
        </w:rPr>
        <w:t xml:space="preserve">There’s a published 17 J/min “danger threshold.” How does your finding relate to that?</w:t>
      </w:r>
      <w:r>
        <w:rPr>
          <w:i/>
          <w:iCs/>
          <w:color w:val="808080"/>
          <w:sz w:val="18"/>
          <w:szCs w:val="18"/>
        </w:rPr>
        <w:t xml:space="preserve">   [intermediate]</w:t>
      </w:r>
    </w:p>
    <w:p>
      <w:pPr>
        <w:spacing w:after="140" w:line="264"/>
        <w:ind w:left="240"/>
      </w:pPr>
      <w:r>
        <w:rPr>
          <w:b/>
          <w:bCs/>
          <w:color w:val="548235"/>
        </w:rPr>
        <w:t xml:space="preserve">A. </w:t>
      </w:r>
      <w:r>
        <w:t xml:space="preserve">That’s one of our most striking points. Every one of our quartile boundaries actually sat below 17 J/min — so the entire spread we analyzed was inside what’s usually considered acceptable. And yet we still saw survival drop stepwise across those groups. So harm appeared to be accumulating well below the line people treat as the threshold of concern.</w:t>
      </w:r>
    </w:p>
    <w:p>
      <w:pPr>
        <w:spacing w:after="40" w:before="120"/>
      </w:pPr>
      <w:r>
        <w:rPr>
          <w:b/>
          <w:bCs/>
          <w:color w:val="1F4E79"/>
        </w:rPr>
        <w:t xml:space="preserve">Q. </w:t>
      </w:r>
      <w:r>
        <w:rPr>
          <w:b/>
          <w:bCs/>
        </w:rPr>
        <w:t xml:space="preserve">The poster labels the curve “essentially linear” with a p-nonlinearity. How confident are you in that exact label?</w:t>
      </w:r>
      <w:r>
        <w:rPr>
          <w:i/>
          <w:iCs/>
          <w:color w:val="808080"/>
          <w:sz w:val="18"/>
          <w:szCs w:val="18"/>
        </w:rPr>
        <w:t xml:space="preserve">   [tough]</w:t>
      </w:r>
    </w:p>
    <w:p>
      <w:pPr>
        <w:spacing w:after="140" w:line="264"/>
        <w:ind w:left="240"/>
      </w:pPr>
      <w:r>
        <w:rPr>
          <w:b/>
          <w:bCs/>
          <w:color w:val="548235"/>
        </w:rPr>
        <w:t xml:space="preserve">A. </w:t>
      </w:r>
      <w:r>
        <w:t xml:space="preserve">I’d describe the shape confidently — a steady, essentially straight climb with no plateau — and that qualitative pattern is solid. I’d be more cautious about the precise nonlinearity p-value printed on the panel, because that’s a specific number I want to confirm with our supervisor before overstating it. The take-home doesn’t hinge on that one figure; the consistent upward trend is the real finding.</w:t>
      </w:r>
    </w:p>
    <w:p>
      <w:pPr>
        <w:spacing w:after="40" w:before="120"/>
      </w:pPr>
      <w:r>
        <w:rPr>
          <w:b/>
          <w:bCs/>
          <w:color w:val="1F4E79"/>
        </w:rPr>
        <w:t xml:space="preserve">Q. </w:t>
      </w:r>
      <w:r>
        <w:rPr>
          <w:b/>
          <w:bCs/>
        </w:rPr>
        <w:t xml:space="preserve">Your poster shows a smooth fitted curve, but you keep quoting quartile survival numbers. Are those the same analysis?</w:t>
      </w:r>
      <w:r>
        <w:rPr>
          <w:i/>
          <w:iCs/>
          <w:color w:val="808080"/>
          <w:sz w:val="18"/>
          <w:szCs w:val="18"/>
        </w:rPr>
        <w:t xml:space="preserve">   [tough]</w:t>
      </w:r>
    </w:p>
    <w:p>
      <w:pPr>
        <w:spacing w:after="140" w:line="264"/>
        <w:ind w:left="240"/>
      </w:pPr>
      <w:r>
        <w:rPr>
          <w:b/>
          <w:bCs/>
          <w:color w:val="548235"/>
        </w:rPr>
        <w:t xml:space="preserve">A. </w:t>
      </w:r>
      <w:r>
        <w:t xml:space="preserve">Good catch — they’re two complementary views of the same relationship. The poster draws a smooth fitted curve to show the continuous trend; the manuscript presents it as Kaplan–Meier survival split into four power groups, giving those 89-down-to-70 numbers. They tell the same story from different angles, and to be transparent, reconciling exactly which version we display is something we’re confirming with our supervisor.</w:t>
      </w:r>
    </w:p>
    <w:p>
      <w:pPr>
        <w:pStyle w:val="Heading2"/>
      </w:pPr>
      <w:r>
        <w:t xml:space="preserve">4) Subgroups, interaction &amp; robustness</w:t>
      </w:r>
    </w:p>
    <w:p>
      <w:pPr>
        <w:spacing w:after="40" w:before="120"/>
      </w:pPr>
      <w:r>
        <w:rPr>
          <w:b/>
          <w:bCs/>
          <w:color w:val="1F4E79"/>
        </w:rPr>
        <w:t xml:space="preserve">Q. </w:t>
      </w:r>
      <w:r>
        <w:rPr>
          <w:b/>
          <w:bCs/>
        </w:rPr>
        <w:t xml:space="preserve">What is the forest plot actually showing us?</w:t>
      </w:r>
      <w:r>
        <w:rPr>
          <w:i/>
          <w:iCs/>
          <w:color w:val="808080"/>
          <w:sz w:val="18"/>
          <w:szCs w:val="18"/>
        </w:rPr>
        <w:t xml:space="preserve">   [basic]</w:t>
      </w:r>
    </w:p>
    <w:p>
      <w:pPr>
        <w:spacing w:after="140" w:line="264"/>
        <w:ind w:left="240"/>
      </w:pPr>
      <w:r>
        <w:rPr>
          <w:b/>
          <w:bCs/>
          <w:color w:val="548235"/>
        </w:rPr>
        <w:t xml:space="preserve">A. </w:t>
      </w:r>
      <w:r>
        <w:t xml:space="preserve">It checks whether the harm from mechanical power behaves the same way in different patients. We split the cohort three pre-planned ways: by oxygenation severity, by lung size, and by age over/under 65. Each dot is the odds ratio for that subgroup — and all six line up tightly between 1.08 and 1.10, every one significant. So the signal isn’t driven by one type of patient; it’s consistent across the board.</w:t>
      </w:r>
    </w:p>
    <w:p>
      <w:pPr>
        <w:spacing w:after="40" w:before="120"/>
      </w:pPr>
      <w:r>
        <w:rPr>
          <w:b/>
          <w:bCs/>
          <w:color w:val="1F4E79"/>
        </w:rPr>
        <w:t xml:space="preserve">Q. </w:t>
      </w:r>
      <w:r>
        <w:rPr>
          <w:b/>
          <w:bCs/>
        </w:rPr>
        <w:t xml:space="preserve">When you say there was “no significant interaction,” what does that mean in plain terms?</w:t>
      </w:r>
      <w:r>
        <w:rPr>
          <w:i/>
          <w:iCs/>
          <w:color w:val="808080"/>
          <w:sz w:val="18"/>
          <w:szCs w:val="18"/>
        </w:rPr>
        <w:t xml:space="preserve">   [basic]</w:t>
      </w:r>
    </w:p>
    <w:p>
      <w:pPr>
        <w:spacing w:after="140" w:line="264"/>
        <w:ind w:left="240"/>
      </w:pPr>
      <w:r>
        <w:rPr>
          <w:b/>
          <w:bCs/>
          <w:color w:val="548235"/>
        </w:rPr>
        <w:t xml:space="preserve">A. </w:t>
      </w:r>
      <w:r>
        <w:t xml:space="preserve">It means the effect of mechanical power didn’t meaningfully change from one subgroup to the next. A significant interaction would say something like “power is dangerous for older patients but safe for younger ones.” We tested for exactly that and didn’t find it — the risk per unit was essentially the same whether patients were old or young, big or small, well or poorly oxygenated.</w:t>
      </w:r>
    </w:p>
    <w:p>
      <w:pPr>
        <w:spacing w:after="40" w:before="120"/>
      </w:pPr>
      <w:r>
        <w:rPr>
          <w:b/>
          <w:bCs/>
          <w:color w:val="1F4E79"/>
        </w:rPr>
        <w:t xml:space="preserve">Q. </w:t>
      </w:r>
      <w:r>
        <w:rPr>
          <w:b/>
          <w:bCs/>
        </w:rPr>
        <w:t xml:space="preserve">Your p-interaction values were 0.067 (oxygenation), 0.941 (lung size), and 0.060 (age). How should we read those?</w:t>
      </w:r>
      <w:r>
        <w:rPr>
          <w:i/>
          <w:iCs/>
          <w:color w:val="808080"/>
          <w:sz w:val="18"/>
          <w:szCs w:val="18"/>
        </w:rPr>
        <w:t xml:space="preserve">   [intermediate]</w:t>
      </w:r>
    </w:p>
    <w:p>
      <w:pPr>
        <w:spacing w:after="140" w:line="264"/>
        <w:ind w:left="240"/>
      </w:pPr>
      <w:r>
        <w:rPr>
          <w:b/>
          <w:bCs/>
          <w:color w:val="548235"/>
        </w:rPr>
        <w:t xml:space="preserve">A. </w:t>
      </w:r>
      <w:r>
        <w:t xml:space="preserve">The p-interaction tests whether the subgroups differ from each other; the usual cutoff for a “real difference” is below 0.05. Lung size at 0.941 means the two groups behaved almost identically. Oxygenation at 0.067 and age at 0.060 are above the cutoff too — so technically no significant difference, though closer to the line. The honest read: none crossed into statistical significance.</w:t>
      </w:r>
    </w:p>
    <w:p>
      <w:pPr>
        <w:spacing w:after="40" w:before="120"/>
      </w:pPr>
      <w:r>
        <w:rPr>
          <w:b/>
          <w:bCs/>
          <w:color w:val="1F4E79"/>
        </w:rPr>
        <w:t xml:space="preserve">Q. </w:t>
      </w:r>
      <w:r>
        <w:rPr>
          <w:b/>
          <w:bCs/>
        </w:rPr>
        <w:t xml:space="preserve">Age came closest at 0.060. Doesn’t that suggest power really is more dangerous for older patients?</w:t>
      </w:r>
      <w:r>
        <w:rPr>
          <w:i/>
          <w:iCs/>
          <w:color w:val="808080"/>
          <w:sz w:val="18"/>
          <w:szCs w:val="18"/>
        </w:rPr>
        <w:t xml:space="preserve">   [intermediate]</w:t>
      </w:r>
    </w:p>
    <w:p>
      <w:pPr>
        <w:spacing w:after="140" w:line="264"/>
        <w:ind w:left="240"/>
      </w:pPr>
      <w:r>
        <w:rPr>
          <w:b/>
          <w:bCs/>
          <w:color w:val="548235"/>
        </w:rPr>
        <w:t xml:space="preserve">A. </w:t>
      </w:r>
      <w:r>
        <w:t xml:space="preserve">It’s a fair flag, and we’d watch it, but we shouldn’t over-read a result that didn’t cross the line. At 0.060 it’s just shy of 0.05, so statistically we can’t claim older patients are truly more vulnerable — that would be reading a trend as a fact. And both age subgroups still landed in that tight 1.08–1.10 band and were both significant, so harm was clearly present in younger patients too. It’s a reasonable hypothesis for a future, better-powered study — not a conclusion we can bank here.</w:t>
      </w:r>
    </w:p>
    <w:p>
      <w:pPr>
        <w:spacing w:after="40" w:before="120"/>
      </w:pPr>
      <w:r>
        <w:rPr>
          <w:b/>
          <w:bCs/>
          <w:color w:val="1F4E79"/>
        </w:rPr>
        <w:t xml:space="preserve">Q. </w:t>
      </w:r>
      <w:r>
        <w:rPr>
          <w:b/>
          <w:bCs/>
        </w:rPr>
        <w:t xml:space="preserve">You measured power three ways. Why does getting the same answer three times make the result stronger?</w:t>
      </w:r>
      <w:r>
        <w:rPr>
          <w:i/>
          <w:iCs/>
          <w:color w:val="808080"/>
          <w:sz w:val="18"/>
          <w:szCs w:val="18"/>
        </w:rPr>
        <w:t xml:space="preserve">   [tough]</w:t>
      </w:r>
    </w:p>
    <w:p>
      <w:pPr>
        <w:spacing w:after="140" w:line="264"/>
        <w:ind w:left="240"/>
      </w:pPr>
      <w:r>
        <w:rPr>
          <w:b/>
          <w:bCs/>
          <w:color w:val="548235"/>
        </w:rPr>
        <w:t xml:space="preserve">A. </w:t>
      </w:r>
      <w:r>
        <w:t xml:space="preserve">Because it tells us the finding isn’t an artifact of one arbitrary definition. We measured power as a time-weighted average, a daily median, and a total cumulative dose — three genuinely different ways of summarizing the same exposure. The time-weighted and median versions both gave about 9% higher odds per unit, and the cumulative version told the same story. When three independent measurements converge, it’s much harder to argue the result is a fluke.</w:t>
      </w:r>
    </w:p>
    <w:p>
      <w:pPr>
        <w:spacing w:after="40" w:before="120"/>
      </w:pPr>
      <w:r>
        <w:rPr>
          <w:b/>
          <w:bCs/>
          <w:color w:val="1F4E79"/>
        </w:rPr>
        <w:t xml:space="preserve">Q. </w:t>
      </w:r>
      <w:r>
        <w:rPr>
          <w:b/>
          <w:bCs/>
        </w:rPr>
        <w:t xml:space="preserve">Subgroup analyses are notorious for false positives. How do you know you’re not just seeing noise?</w:t>
      </w:r>
      <w:r>
        <w:rPr>
          <w:i/>
          <w:iCs/>
          <w:color w:val="808080"/>
          <w:sz w:val="18"/>
          <w:szCs w:val="18"/>
        </w:rPr>
        <w:t xml:space="preserve">   [tough]</w:t>
      </w:r>
    </w:p>
    <w:p>
      <w:pPr>
        <w:spacing w:after="140" w:line="264"/>
        <w:ind w:left="240"/>
      </w:pPr>
      <w:r>
        <w:rPr>
          <w:b/>
          <w:bCs/>
          <w:color w:val="548235"/>
        </w:rPr>
        <w:t xml:space="preserve">A. </w:t>
      </w:r>
      <w:r>
        <w:t xml:space="preserve">That’s the right concern, and two design choices matter. First, all three splits were pre-specified — we decided to test them before looking — so we’re not fishing through dozens of subgroups. Second, the safeguard is the interaction test itself, and none of ours reached significance, meaning we’re not claiming any subgroup differs. So our take is the conservative one: the effect was uniform — no group spared, no group singled out. The bigger limitation to be honest about is that this is retrospective and single-center, so it still needs external validation.</w:t>
      </w:r>
    </w:p>
    <w:p>
      <w:pPr>
        <w:pStyle w:val="Heading2"/>
      </w:pPr>
      <w:r>
        <w:t xml:space="preserve">5) Conclusion &amp; clinical implications</w:t>
      </w:r>
    </w:p>
    <w:p>
      <w:pPr>
        <w:spacing w:after="40" w:before="120"/>
      </w:pPr>
      <w:r>
        <w:rPr>
          <w:b/>
          <w:bCs/>
          <w:color w:val="1F4E79"/>
        </w:rPr>
        <w:t xml:space="preserve">Q. </w:t>
      </w:r>
      <w:r>
        <w:rPr>
          <w:b/>
          <w:bCs/>
        </w:rPr>
        <w:t xml:space="preserve">What’s the one take-home message?</w:t>
      </w:r>
      <w:r>
        <w:rPr>
          <w:i/>
          <w:iCs/>
          <w:color w:val="808080"/>
          <w:sz w:val="18"/>
          <w:szCs w:val="18"/>
        </w:rPr>
        <w:t xml:space="preserve">   [basic]</w:t>
      </w:r>
    </w:p>
    <w:p>
      <w:pPr>
        <w:spacing w:after="140" w:line="264"/>
        <w:ind w:left="240"/>
      </w:pPr>
      <w:r>
        <w:rPr>
          <w:b/>
          <w:bCs/>
          <w:color w:val="548235"/>
        </w:rPr>
        <w:t xml:space="preserve">A. </w:t>
      </w:r>
      <w:r>
        <w:t xml:space="preserve">In our cohort of 18,980 ventilated adults, the energy the ventilator delivered in the first 24 hours was independently linked to dying within 28 days — about 9% higher odds per extra unit of power. And it wasn’t a fluke of one sick subgroup; the signal held across age, lung size, and oxygenation. So: how hard the ventilator works on a patient looks like it matters on its own, even after accounting for how sick they already were.</w:t>
      </w:r>
    </w:p>
    <w:p>
      <w:pPr>
        <w:spacing w:after="40" w:before="120"/>
      </w:pPr>
      <w:r>
        <w:rPr>
          <w:b/>
          <w:bCs/>
          <w:color w:val="1F4E79"/>
        </w:rPr>
        <w:t xml:space="preserve">Q. </w:t>
      </w:r>
      <w:r>
        <w:rPr>
          <w:b/>
          <w:bCs/>
        </w:rPr>
        <w:t xml:space="preserve">You said power should “complement, not replace” current monitoring. What does that mean in practice?</w:t>
      </w:r>
      <w:r>
        <w:rPr>
          <w:i/>
          <w:iCs/>
          <w:color w:val="808080"/>
          <w:sz w:val="18"/>
          <w:szCs w:val="18"/>
        </w:rPr>
        <w:t xml:space="preserve">   [basic]</w:t>
      </w:r>
    </w:p>
    <w:p>
      <w:pPr>
        <w:spacing w:after="140" w:line="264"/>
        <w:ind w:left="240"/>
      </w:pPr>
      <w:r>
        <w:rPr>
          <w:b/>
          <w:bCs/>
          <w:color w:val="548235"/>
        </w:rPr>
        <w:t xml:space="preserve">A. </w:t>
      </w:r>
      <w:r>
        <w:t xml:space="preserve">Clinicians already watch targets like tidal volume, plateau pressure, and driving pressure — those stay the standard of care. Mechanical power is useful because it bundles several of those settings, plus respiratory rate and flow, into one number, so it can catch risk a single measurement might miss. We’re saying add it as one more gauge on the dashboard, not swap it in for the trusted ones. An extra lens, not a replacement.</w:t>
      </w:r>
    </w:p>
    <w:p>
      <w:pPr>
        <w:spacing w:after="40" w:before="120"/>
      </w:pPr>
      <w:r>
        <w:rPr>
          <w:b/>
          <w:bCs/>
          <w:color w:val="1F4E79"/>
        </w:rPr>
        <w:t xml:space="preserve">Q. </w:t>
      </w:r>
      <w:r>
        <w:rPr>
          <w:b/>
          <w:bCs/>
        </w:rPr>
        <w:t xml:space="preserve">Why focus on the first 24 hours — why is that the actionable window?</w:t>
      </w:r>
      <w:r>
        <w:rPr>
          <w:i/>
          <w:iCs/>
          <w:color w:val="808080"/>
          <w:sz w:val="18"/>
          <w:szCs w:val="18"/>
        </w:rPr>
        <w:t xml:space="preserve">   [intermediate]</w:t>
      </w:r>
    </w:p>
    <w:p>
      <w:pPr>
        <w:spacing w:after="140" w:line="264"/>
        <w:ind w:left="240"/>
      </w:pPr>
      <w:r>
        <w:rPr>
          <w:b/>
          <w:bCs/>
          <w:color w:val="548235"/>
        </w:rPr>
        <w:t xml:space="preserve">A. </w:t>
      </w:r>
      <w:r>
        <w:t xml:space="preserve">Because that’s an early, modifiable point in a patient’s course — the settings are right there and can be adjusted. Finding that this early dose tracks with 28-day survival suggests the first day is a real opportunity to act rather than just observe. That said, because our study is observational, we’re showing it’s a promising window to test, not proving that dialing power down in that window saves lives.</w:t>
      </w:r>
    </w:p>
    <w:p>
      <w:pPr>
        <w:spacing w:after="40" w:before="120"/>
      </w:pPr>
      <w:r>
        <w:rPr>
          <w:b/>
          <w:bCs/>
          <w:color w:val="1F4E79"/>
        </w:rPr>
        <w:t xml:space="preserve">Q. </w:t>
      </w:r>
      <w:r>
        <w:rPr>
          <w:b/>
          <w:bCs/>
        </w:rPr>
        <w:t xml:space="preserve">Be honest: what does this study prove, and what does it not prove?</w:t>
      </w:r>
      <w:r>
        <w:rPr>
          <w:i/>
          <w:iCs/>
          <w:color w:val="808080"/>
          <w:sz w:val="18"/>
          <w:szCs w:val="18"/>
        </w:rPr>
        <w:t xml:space="preserve">   [intermediate]</w:t>
      </w:r>
    </w:p>
    <w:p>
      <w:pPr>
        <w:spacing w:after="140" w:line="264"/>
        <w:ind w:left="240"/>
      </w:pPr>
      <w:r>
        <w:rPr>
          <w:b/>
          <w:bCs/>
          <w:color w:val="548235"/>
        </w:rPr>
        <w:t xml:space="preserve">A. </w:t>
      </w:r>
      <w:r>
        <w:t xml:space="preserve">It shows a strong, consistent association — higher power went hand-in-hand with higher mortality, and that link survived adjustment for major confounders and held in every subgroup. What it does not show is causation. This is retrospective, observational, single-center, so we can’t claim that lowering power will save lives; sicker lungs may simply demand more power. Proving cause and benefit needs a prospective trial that actually changes power and watches what happens.</w:t>
      </w:r>
    </w:p>
    <w:p>
      <w:pPr>
        <w:spacing w:after="40" w:before="120"/>
      </w:pPr>
      <w:r>
        <w:rPr>
          <w:b/>
          <w:bCs/>
          <w:color w:val="1F4E79"/>
        </w:rPr>
        <w:t xml:space="preserve">Q. </w:t>
      </w:r>
      <w:r>
        <w:rPr>
          <w:b/>
          <w:bCs/>
        </w:rPr>
        <w:t xml:space="preserve">If you’re not claiming cause and effect, what should happen next before this changes practice?</w:t>
      </w:r>
      <w:r>
        <w:rPr>
          <w:i/>
          <w:iCs/>
          <w:color w:val="808080"/>
          <w:sz w:val="18"/>
          <w:szCs w:val="18"/>
        </w:rPr>
        <w:t xml:space="preserve">   [tough]</w:t>
      </w:r>
    </w:p>
    <w:p>
      <w:pPr>
        <w:spacing w:after="140" w:line="264"/>
        <w:ind w:left="240"/>
      </w:pPr>
      <w:r>
        <w:rPr>
          <w:b/>
          <w:bCs/>
          <w:color w:val="548235"/>
        </w:rPr>
        <w:t xml:space="preserve">A. </w:t>
      </w:r>
      <w:r>
        <w:t xml:space="preserve">Two things, in order. First, external validation — repeating this in other hospitals and populations to confirm it isn’t peculiar to our single center. Second, prospective trials that deliberately target lower mechanical power and measure whether outcomes improve — the only way to move from association to true benefit. Until then, mechanical power is a promising signal worth tracking, not yet a treatment target.</w:t>
      </w:r>
    </w:p>
    <w:p>
      <w:pPr>
        <w:spacing w:after="40" w:before="120"/>
      </w:pPr>
      <w:r>
        <w:rPr>
          <w:b/>
          <w:bCs/>
          <w:color w:val="1F4E79"/>
        </w:rPr>
        <w:t xml:space="preserve">Q. </w:t>
      </w:r>
      <w:r>
        <w:rPr>
          <w:b/>
          <w:bCs/>
        </w:rPr>
        <w:t xml:space="preserve">Your conclusion says there may be “no safe threshold.” That’s strong — can you defend it without overreaching?</w:t>
      </w:r>
      <w:r>
        <w:rPr>
          <w:i/>
          <w:iCs/>
          <w:color w:val="808080"/>
          <w:sz w:val="18"/>
          <w:szCs w:val="18"/>
        </w:rPr>
        <w:t xml:space="preserve">   [tough]</w:t>
      </w:r>
    </w:p>
    <w:p>
      <w:pPr>
        <w:spacing w:after="140" w:line="264"/>
        <w:ind w:left="240"/>
      </w:pPr>
      <w:r>
        <w:rPr>
          <w:b/>
          <w:bCs/>
          <w:color w:val="548235"/>
        </w:rPr>
        <w:t xml:space="preserve">A. </w:t>
      </w:r>
      <w:r>
        <w:t xml:space="preserve">It comes from two findings pointing the same way. The dose-response curve climbed steadily with no plateau, and in the quartile analysis survival dropped step by step even though every quartile boundary sat below 17 J/min — the value often cited as the danger line. So a gradient was already visible inside the supposedly acceptable range. To stay honest, I’d phrase it as “no clearly safe cut-off emerged in our data” rather than proof one doesn’t exist — lower simply looked better than higher all the way down, and that’s a hypothesis for trials to confirm.</w:t>
      </w:r>
    </w:p>
    <w:p>
      <w:pPr>
        <w:pStyle w:val="Heading2"/>
      </w:pPr>
      <w:r>
        <w:t xml:space="preserve">6) Skeptical / limitations</w:t>
      </w:r>
    </w:p>
    <w:p>
      <w:pPr>
        <w:spacing w:after="40" w:before="120"/>
      </w:pPr>
      <w:r>
        <w:rPr>
          <w:b/>
          <w:bCs/>
          <w:color w:val="1F4E79"/>
        </w:rPr>
        <w:t xml:space="preserve">Q. </w:t>
      </w:r>
      <w:r>
        <w:rPr>
          <w:b/>
          <w:bCs/>
        </w:rPr>
        <w:t xml:space="preserve">Does this study prove that high mechanical power actually causes patients to die?</w:t>
      </w:r>
      <w:r>
        <w:rPr>
          <w:i/>
          <w:iCs/>
          <w:color w:val="808080"/>
          <w:sz w:val="18"/>
          <w:szCs w:val="18"/>
        </w:rPr>
        <w:t xml:space="preserve">   [basic]</w:t>
      </w:r>
    </w:p>
    <w:p>
      <w:pPr>
        <w:spacing w:after="140" w:line="264"/>
        <w:ind w:left="240"/>
      </w:pPr>
      <w:r>
        <w:rPr>
          <w:b/>
          <w:bCs/>
          <w:color w:val="548235"/>
        </w:rPr>
        <w:t xml:space="preserve">A. </w:t>
      </w:r>
      <w:r>
        <w:t xml:space="preserve">No, and I want to be clear about that. This is a retrospective, observational study, so what we can honestly claim is a strong, consistent association — not proof of cause. Higher ventilator energy was linked to higher odds of death even after accounting for how sick patients already were, but only a prospective trial that deliberately lowers power can tell us whether reducing it actually saves lives.</w:t>
      </w:r>
    </w:p>
    <w:p>
      <w:pPr>
        <w:spacing w:after="40" w:before="120"/>
      </w:pPr>
      <w:r>
        <w:rPr>
          <w:b/>
          <w:bCs/>
          <w:color w:val="1F4E79"/>
        </w:rPr>
        <w:t xml:space="preserve">Q. </w:t>
      </w:r>
      <w:r>
        <w:rPr>
          <w:b/>
          <w:bCs/>
        </w:rPr>
        <w:t xml:space="preserve">Isn’t it just that the sickest patients get the most aggressive ventilation — so you’re measuring sickness, not the ventilator?</w:t>
      </w:r>
      <w:r>
        <w:rPr>
          <w:i/>
          <w:iCs/>
          <w:color w:val="808080"/>
          <w:sz w:val="18"/>
          <w:szCs w:val="18"/>
        </w:rPr>
        <w:t xml:space="preserve">   [intermediate]</w:t>
      </w:r>
    </w:p>
    <w:p>
      <w:pPr>
        <w:spacing w:after="140" w:line="264"/>
        <w:ind w:left="240"/>
      </w:pPr>
      <w:r>
        <w:rPr>
          <w:b/>
          <w:bCs/>
          <w:color w:val="548235"/>
        </w:rPr>
        <w:t xml:space="preserve">A. </w:t>
      </w:r>
      <w:r>
        <w:t xml:space="preserve">That’s the central worry — confounding by indication — and it’s fair. We tried to handle it by adjusting for the main severity markers: age, oxygenation, vasopressors for shock, and dialysis for severe kidney injury. The power signal held up on top of all of those, and notably dialysis was our strongest predictor at more than triple the odds, so power wasn’t just standing in for general sickness. But adjustment can’t remove confounding we didn’t measure, so residual confounding remains a real limitation.</w:t>
      </w:r>
    </w:p>
    <w:p>
      <w:pPr>
        <w:spacing w:after="40" w:before="120"/>
      </w:pPr>
      <w:r>
        <w:rPr>
          <w:b/>
          <w:bCs/>
          <w:color w:val="1F4E79"/>
        </w:rPr>
        <w:t xml:space="preserve">Q. </w:t>
      </w:r>
      <w:r>
        <w:rPr>
          <w:b/>
          <w:bCs/>
        </w:rPr>
        <w:t xml:space="preserve">Your table shows asthma and COPD patients were less likely to die. Are these lung diseases protective?</w:t>
      </w:r>
      <w:r>
        <w:rPr>
          <w:i/>
          <w:iCs/>
          <w:color w:val="808080"/>
          <w:sz w:val="18"/>
          <w:szCs w:val="18"/>
        </w:rPr>
        <w:t xml:space="preserve">   [intermediate]</w:t>
      </w:r>
    </w:p>
    <w:p>
      <w:pPr>
        <w:spacing w:after="140" w:line="264"/>
        <w:ind w:left="240"/>
      </w:pPr>
      <w:r>
        <w:rPr>
          <w:b/>
          <w:bCs/>
          <w:color w:val="548235"/>
        </w:rPr>
        <w:t xml:space="preserve">A. </w:t>
      </w:r>
      <w:r>
        <w:t xml:space="preserve">No, and I’d caution strongly against reading it that way. Asthma looked statistically less common in those who died, and COPD and heart failure showed no real difference — but that’s a between-patient case-mix pattern, not biological protection. Patients carrying a chronic-lung label differ in age, baseline, and management, so this compares different kinds of people, not whether the disease itself shields anyone. Our actual finding is about mechanical power within patients, and that harm signal stayed consistent across every subgroup.</w:t>
      </w:r>
    </w:p>
    <w:p>
      <w:pPr>
        <w:spacing w:after="40" w:before="120"/>
      </w:pPr>
      <w:r>
        <w:rPr>
          <w:b/>
          <w:bCs/>
          <w:color w:val="1F4E79"/>
        </w:rPr>
        <w:t xml:space="preserve">Q. </w:t>
      </w:r>
      <w:r>
        <w:rPr>
          <w:b/>
          <w:bCs/>
        </w:rPr>
        <w:t xml:space="preserve">A 9% increase in odds per unit sounds tiny. Is this actually clinically meaningful?</w:t>
      </w:r>
      <w:r>
        <w:rPr>
          <w:i/>
          <w:iCs/>
          <w:color w:val="808080"/>
          <w:sz w:val="18"/>
          <w:szCs w:val="18"/>
        </w:rPr>
        <w:t xml:space="preserve">   [tough]</w:t>
      </w:r>
    </w:p>
    <w:p>
      <w:pPr>
        <w:spacing w:after="140" w:line="264"/>
        <w:ind w:left="240"/>
      </w:pPr>
      <w:r>
        <w:rPr>
          <w:b/>
          <w:bCs/>
          <w:color w:val="548235"/>
        </w:rPr>
        <w:t xml:space="preserve">A. </w:t>
      </w:r>
      <w:r>
        <w:t xml:space="preserve">On its own one unit sounds small, but it compounds across the real spread of power. A typical survivor sat around 9.6 J/min and a non-survivor around 12, and across the full range the dose-response climbs to several times the baseline odds with no safe plateau. Split into quartiles, estimated 28-day survival fell from about 89% in the lowest-power group to about 70% in the highest — and that gradient appeared below the 17 J/min line usually considered acceptable. So yes, a steady 9% per unit is clinically meaningful once you see how it stacks up.</w:t>
      </w:r>
    </w:p>
    <w:p>
      <w:pPr>
        <w:spacing w:after="40" w:before="120"/>
      </w:pPr>
      <w:r>
        <w:rPr>
          <w:b/>
          <w:bCs/>
          <w:color w:val="1F4E79"/>
        </w:rPr>
        <w:t xml:space="preserve">Q. </w:t>
      </w:r>
      <w:r>
        <w:rPr>
          <w:b/>
          <w:bCs/>
        </w:rPr>
        <w:t xml:space="preserve">This is all from one database at one hospital. Why should we believe it applies to our patients?</w:t>
      </w:r>
      <w:r>
        <w:rPr>
          <w:i/>
          <w:iCs/>
          <w:color w:val="808080"/>
          <w:sz w:val="18"/>
          <w:szCs w:val="18"/>
        </w:rPr>
        <w:t xml:space="preserve">   [tough]</w:t>
      </w:r>
    </w:p>
    <w:p>
      <w:pPr>
        <w:spacing w:after="140" w:line="264"/>
        <w:ind w:left="240"/>
      </w:pPr>
      <w:r>
        <w:rPr>
          <w:b/>
          <w:bCs/>
          <w:color w:val="548235"/>
        </w:rPr>
        <w:t xml:space="preserve">A. </w:t>
      </w:r>
      <w:r>
        <w:t xml:space="preserve">You’re right to push on that — single-center is a key limitation. Our cohort was a large, mixed group of nearly nineteen thousand ventilated adults, which helps internal consistency, but it’s one critical-care system, so we can’t assume the exact numbers transfer. That’s precisely why our conclusion calls for external validation in other hospitals before anyone changes practice. For now, mechanical power is worth watching at the bedside as a complement to existing targets — not a proven new rule.</w:t>
      </w:r>
    </w:p>
    <w:p>
      <w:pPr>
        <w:spacing w:after="40" w:before="120"/>
      </w:pPr>
      <w:r>
        <w:rPr>
          <w:b/>
          <w:bCs/>
          <w:color w:val="1F4E79"/>
        </w:rPr>
        <w:t xml:space="preserve">Q. </w:t>
      </w:r>
      <w:r>
        <w:rPr>
          <w:b/>
          <w:bCs/>
        </w:rPr>
        <w:t xml:space="preserve">Could the whole result just be an artifact of how you measured mechanical power?</w:t>
      </w:r>
      <w:r>
        <w:rPr>
          <w:i/>
          <w:iCs/>
          <w:color w:val="808080"/>
          <w:sz w:val="18"/>
          <w:szCs w:val="18"/>
        </w:rPr>
        <w:t xml:space="preserve">   [tough]</w:t>
      </w:r>
    </w:p>
    <w:p>
      <w:pPr>
        <w:spacing w:after="140" w:line="264"/>
        <w:ind w:left="240"/>
      </w:pPr>
      <w:r>
        <w:rPr>
          <w:b/>
          <w:bCs/>
          <w:color w:val="548235"/>
        </w:rPr>
        <w:t xml:space="preserve">A. </w:t>
      </w:r>
      <w:r>
        <w:t xml:space="preserve">We checked exactly that by running three parallel models with different definitions of power, and the answer barely moved — the time-weighted average and daily median both gave roughly 9% per unit, and total cumulative energy pointed the same direction, all highly significant. So it isn’t an artifact of one definition. The honest residual caveat is that one poster figure — the dose-response curve — uses a spline we’re double-checking with our supervisor, but the core association is robust across measurement methods.</w:t>
      </w:r>
    </w:p>
    <w:p>
      <w:pPr>
        <w:pStyle w:val="Heading1"/>
      </w:pPr>
      <w:r>
        <w:t xml:space="preserve">4.  Accuracy Fixes Baked In</w:t>
      </w:r>
    </w:p>
    <w:p>
      <w:pPr>
        <w:pStyle w:val="ListParagraph"/>
        <w:numPr>
          <w:ilvl w:val="0"/>
          <w:numId w:val="2"/>
        </w:numPr>
        <w:spacing w:after="100" w:line="264"/>
      </w:pPr>
      <w:r>
        <w:t xml:space="preserve">Separated the robustness check (three MP metrics) from the subgroup forest plot — both fact-checkers flagged the original drafts for merging these two distinct panels.</w:t>
      </w:r>
    </w:p>
    <w:p>
      <w:pPr>
        <w:pStyle w:val="ListParagraph"/>
        <w:numPr>
          <w:ilvl w:val="0"/>
          <w:numId w:val="2"/>
        </w:numPr>
        <w:spacing w:after="100" w:line="264"/>
      </w:pPr>
      <w:r>
        <w:t xml:space="preserve">Grafted the plain-English line “Nine percent sounds small — but it compounds” to pre-empt the most common lay misread that OR 1.09 is trivial.</w:t>
      </w:r>
    </w:p>
    <w:p>
      <w:pPr>
        <w:pStyle w:val="ListParagraph"/>
        <w:numPr>
          <w:ilvl w:val="0"/>
          <w:numId w:val="2"/>
        </w:numPr>
        <w:spacing w:after="100" w:line="264"/>
      </w:pPr>
      <w:r>
        <w:t xml:space="preserve">Kept all causal language as “association, not proof of cause” — verified clean, no causal overreach.</w:t>
      </w:r>
    </w:p>
    <w:sectPr>
      <w:footerReference w:type="default" r:id="rId7"/>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Results &amp; Conclusion cue sheet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7EE" w:sz="4" w:space="3"/>
      </w:pBdr>
      <w:spacing w:after="160" w:before="32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2026-06-17T16:17:33.844Z</dcterms:created>
  <dcterms:modified xsi:type="dcterms:W3CDTF">2026-06-17T16:17:33.845Z</dcterms:modified>
</cp:coreProperties>
</file>

<file path=docProps/custom.xml><?xml version="1.0" encoding="utf-8"?>
<Properties xmlns="http://schemas.openxmlformats.org/officeDocument/2006/custom-properties" xmlns:vt="http://schemas.openxmlformats.org/officeDocument/2006/docPropsVTypes"/>
</file>