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4E9A" w14:textId="77777777" w:rsidR="005448AE" w:rsidRDefault="005448AE">
      <w:pPr>
        <w:pStyle w:val="Heading2"/>
        <w:rPr>
          <w:rFonts w:eastAsia="Times New Roman"/>
        </w:rPr>
      </w:pPr>
      <w:r>
        <w:rPr>
          <w:rFonts w:eastAsia="Times New Roman"/>
        </w:rPr>
        <w:t>TASK 1: ADR IDENTIFICATION BASICS</w:t>
      </w:r>
    </w:p>
    <w:p w14:paraId="0BB71CD3" w14:textId="77777777" w:rsidR="005448AE" w:rsidRDefault="005448AE">
      <w:pPr>
        <w:pStyle w:val="NormalWeb"/>
      </w:pPr>
      <w:r>
        <w:rPr>
          <w:rStyle w:val="Strong"/>
        </w:rPr>
        <w:t>Name:</w:t>
      </w:r>
      <w:r>
        <w:t xml:space="preserve"> </w:t>
      </w:r>
      <w:proofErr w:type="spellStart"/>
      <w:r>
        <w:t>Samixa</w:t>
      </w:r>
      <w:proofErr w:type="spellEnd"/>
      <w:r>
        <w:t xml:space="preserve"> Sunil </w:t>
      </w:r>
      <w:proofErr w:type="spellStart"/>
      <w:r>
        <w:t>Manjrekar</w:t>
      </w:r>
      <w:proofErr w:type="spellEnd"/>
    </w:p>
    <w:p w14:paraId="0AD98AF2" w14:textId="77777777" w:rsidR="005448AE" w:rsidRDefault="005448AE">
      <w:pPr>
        <w:pStyle w:val="Heading3"/>
        <w:rPr>
          <w:rFonts w:eastAsia="Times New Roman"/>
        </w:rPr>
      </w:pPr>
      <w:r>
        <w:rPr>
          <w:rFonts w:eastAsia="Times New Roman"/>
        </w:rPr>
        <w:t>1. Introduction</w:t>
      </w:r>
    </w:p>
    <w:p w14:paraId="56B4138B" w14:textId="77777777" w:rsidR="005448AE" w:rsidRDefault="005448AE">
      <w:pPr>
        <w:pStyle w:val="NormalWeb"/>
      </w:pPr>
      <w:r>
        <w:t>Pharmacovigilance is the science of detecting, assessing, understanding, and preventing adverse effects related to medicines.</w:t>
      </w:r>
    </w:p>
    <w:p w14:paraId="555EAD16" w14:textId="77777777" w:rsidR="005448AE" w:rsidRDefault="005448AE">
      <w:pPr>
        <w:pStyle w:val="NormalWeb"/>
      </w:pPr>
      <w:r>
        <w:t xml:space="preserve">An Adverse Drug Reaction (ADR) is a harmful and unintended response associated with the use of a medicine. ADR identification helps </w:t>
      </w:r>
      <w:proofErr w:type="spellStart"/>
      <w:r>
        <w:t>recognise</w:t>
      </w:r>
      <w:proofErr w:type="spellEnd"/>
      <w:r>
        <w:t xml:space="preserve"> potential medicine-related problems and supports patient safety.</w:t>
      </w:r>
    </w:p>
    <w:p w14:paraId="2C230CEB" w14:textId="77777777" w:rsidR="005448AE" w:rsidRDefault="005448AE">
      <w:pPr>
        <w:pStyle w:val="Heading3"/>
        <w:rPr>
          <w:rFonts w:eastAsia="Times New Roman"/>
        </w:rPr>
      </w:pPr>
      <w:r>
        <w:rPr>
          <w:rFonts w:eastAsia="Times New Roman"/>
        </w:rPr>
        <w:t>2. Types of Adverse Drug Reactions</w:t>
      </w:r>
    </w:p>
    <w:p w14:paraId="57B36ABD" w14:textId="77777777" w:rsidR="005448AE" w:rsidRDefault="005448AE" w:rsidP="00544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Pharmacological toxicity:</w:t>
      </w:r>
      <w:r>
        <w:rPr>
          <w:rFonts w:eastAsia="Times New Roman"/>
        </w:rPr>
        <w:t xml:space="preserve"> An excessive effect of a medicine, such as a significant fall in blood pressure.</w:t>
      </w:r>
    </w:p>
    <w:p w14:paraId="1912A68F" w14:textId="77777777" w:rsidR="005448AE" w:rsidRDefault="005448AE" w:rsidP="00544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Allergic reaction:</w:t>
      </w:r>
      <w:r>
        <w:rPr>
          <w:rFonts w:eastAsia="Times New Roman"/>
        </w:rPr>
        <w:t xml:space="preserve"> An immune response to a medicine that may cause itching, rash, or swelling.</w:t>
      </w:r>
    </w:p>
    <w:p w14:paraId="7B8C83E1" w14:textId="77777777" w:rsidR="005448AE" w:rsidRDefault="005448AE" w:rsidP="00544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Idiosyncratic reaction:</w:t>
      </w:r>
      <w:r>
        <w:rPr>
          <w:rFonts w:eastAsia="Times New Roman"/>
        </w:rPr>
        <w:t xml:space="preserve"> An unusual and unpredictable response in an individual.</w:t>
      </w:r>
    </w:p>
    <w:p w14:paraId="58AC36F6" w14:textId="77777777" w:rsidR="005448AE" w:rsidRDefault="005448AE" w:rsidP="00544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Organ toxicity:</w:t>
      </w:r>
      <w:r>
        <w:rPr>
          <w:rFonts w:eastAsia="Times New Roman"/>
        </w:rPr>
        <w:t xml:space="preserve"> Damage to an organ caused by a medicine, such as liver injury following </w:t>
      </w:r>
      <w:proofErr w:type="spellStart"/>
      <w:r>
        <w:rPr>
          <w:rFonts w:eastAsia="Times New Roman"/>
        </w:rPr>
        <w:t>paracetamol</w:t>
      </w:r>
      <w:proofErr w:type="spellEnd"/>
      <w:r>
        <w:rPr>
          <w:rFonts w:eastAsia="Times New Roman"/>
        </w:rPr>
        <w:t xml:space="preserve"> overdose.</w:t>
      </w:r>
    </w:p>
    <w:p w14:paraId="61C56EAE" w14:textId="77777777" w:rsidR="005448AE" w:rsidRDefault="005448AE" w:rsidP="00544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Teratogenicity:</w:t>
      </w:r>
      <w:r>
        <w:rPr>
          <w:rFonts w:eastAsia="Times New Roman"/>
        </w:rPr>
        <w:t xml:space="preserve"> The potential of a medicine to cause developmental abnormalities in an embryo or fetus.</w:t>
      </w:r>
    </w:p>
    <w:p w14:paraId="6E33F7F4" w14:textId="77777777" w:rsidR="005448AE" w:rsidRDefault="005448AE">
      <w:pPr>
        <w:pStyle w:val="Heading3"/>
        <w:rPr>
          <w:rFonts w:eastAsia="Times New Roman"/>
        </w:rPr>
      </w:pPr>
      <w:r>
        <w:rPr>
          <w:rFonts w:eastAsia="Times New Roman"/>
        </w:rPr>
        <w:t>3. Steps in ADR Identification</w:t>
      </w:r>
    </w:p>
    <w:p w14:paraId="5ABC3750" w14:textId="77777777" w:rsidR="005448AE" w:rsidRDefault="005448AE" w:rsidP="00544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Identify symptoms:</w:t>
      </w:r>
      <w:r>
        <w:rPr>
          <w:rFonts w:eastAsia="Times New Roman"/>
        </w:rPr>
        <w:t xml:space="preserve"> Note the patient's signs and symptoms.</w:t>
      </w:r>
    </w:p>
    <w:p w14:paraId="01A2D2A8" w14:textId="77777777" w:rsidR="005448AE" w:rsidRDefault="005448AE" w:rsidP="00544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Review medication history:</w:t>
      </w:r>
      <w:r>
        <w:rPr>
          <w:rFonts w:eastAsia="Times New Roman"/>
        </w:rPr>
        <w:t xml:space="preserve"> Check the medicines taken, doses, duration, and previous drug allergies.</w:t>
      </w:r>
    </w:p>
    <w:p w14:paraId="5E781B4C" w14:textId="77777777" w:rsidR="005448AE" w:rsidRDefault="005448AE" w:rsidP="00544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Assess the timeline:</w:t>
      </w:r>
      <w:r>
        <w:rPr>
          <w:rFonts w:eastAsia="Times New Roman"/>
        </w:rPr>
        <w:t xml:space="preserve"> Determine when the medicine was started and when the symptoms appeared.</w:t>
      </w:r>
    </w:p>
    <w:p w14:paraId="40BC0927" w14:textId="77777777" w:rsidR="005448AE" w:rsidRDefault="005448AE" w:rsidP="00544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Identify the suspected drug:</w:t>
      </w:r>
      <w:r>
        <w:rPr>
          <w:rFonts w:eastAsia="Times New Roman"/>
        </w:rPr>
        <w:t xml:space="preserve"> Check whether the medicine is known to cause the observed reaction.</w:t>
      </w:r>
    </w:p>
    <w:p w14:paraId="08B7FA9B" w14:textId="77777777" w:rsidR="005448AE" w:rsidRDefault="005448AE" w:rsidP="00544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Consider other causes:</w:t>
      </w:r>
      <w:r>
        <w:rPr>
          <w:rFonts w:eastAsia="Times New Roman"/>
        </w:rPr>
        <w:t xml:space="preserve"> Assess whether the illness, another medicine, or another condition could explain the symptoms.</w:t>
      </w:r>
    </w:p>
    <w:p w14:paraId="1515D332" w14:textId="77777777" w:rsidR="005448AE" w:rsidRDefault="005448AE" w:rsidP="00544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Assess the outcome:</w:t>
      </w:r>
      <w:r>
        <w:rPr>
          <w:rFonts w:eastAsia="Times New Roman"/>
        </w:rPr>
        <w:t xml:space="preserve"> Note whether symptoms improved or worsened and what action was taken.</w:t>
      </w:r>
    </w:p>
    <w:p w14:paraId="0153D233" w14:textId="77777777" w:rsidR="005448AE" w:rsidRDefault="005448AE" w:rsidP="00544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Assess causality:</w:t>
      </w:r>
      <w:r>
        <w:rPr>
          <w:rFonts w:eastAsia="Times New Roman"/>
        </w:rPr>
        <w:t xml:space="preserve"> Evaluate whether the reaction may be related to the suspected medicine.</w:t>
      </w:r>
    </w:p>
    <w:p w14:paraId="07B3A860" w14:textId="77777777" w:rsidR="005448AE" w:rsidRDefault="005448AE">
      <w:pPr>
        <w:pStyle w:val="Heading3"/>
        <w:rPr>
          <w:rFonts w:eastAsia="Times New Roman"/>
        </w:rPr>
      </w:pPr>
      <w:r>
        <w:rPr>
          <w:rFonts w:eastAsia="Times New Roman"/>
        </w:rPr>
        <w:t>4. Illustrative Example of ADR Identification</w:t>
      </w:r>
    </w:p>
    <w:p w14:paraId="124F270C" w14:textId="77777777" w:rsidR="005448AE" w:rsidRDefault="005448AE">
      <w:pPr>
        <w:pStyle w:val="NormalWeb"/>
      </w:pPr>
      <w:r>
        <w:rPr>
          <w:rStyle w:val="Emphasis"/>
        </w:rPr>
        <w:t>Note: This is a hypothetical example for learning purposes, not an assigned patient case.</w:t>
      </w:r>
    </w:p>
    <w:p w14:paraId="0199B0DF" w14:textId="77777777" w:rsidR="005448AE" w:rsidRDefault="005448AE">
      <w:pPr>
        <w:pStyle w:val="NormalWeb"/>
      </w:pPr>
      <w:r>
        <w:rPr>
          <w:rStyle w:val="Strong"/>
        </w:rPr>
        <w:t>Case:</w:t>
      </w:r>
      <w:r>
        <w:t xml:space="preserve"> A patient starts taking amoxicillin for a bacterial infection and later develops itching and a skin rash.</w:t>
      </w:r>
    </w:p>
    <w:p w14:paraId="00230B02" w14:textId="77777777" w:rsidR="005448AE" w:rsidRDefault="005448AE" w:rsidP="00544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Symptoms:</w:t>
      </w:r>
      <w:r>
        <w:rPr>
          <w:rFonts w:eastAsia="Times New Roman"/>
        </w:rPr>
        <w:t xml:space="preserve"> Itching and skin rash.</w:t>
      </w:r>
    </w:p>
    <w:p w14:paraId="5B69F918" w14:textId="77777777" w:rsidR="005448AE" w:rsidRDefault="005448AE" w:rsidP="00544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Suspected medicine:</w:t>
      </w:r>
      <w:r>
        <w:rPr>
          <w:rFonts w:eastAsia="Times New Roman"/>
        </w:rPr>
        <w:t xml:space="preserve"> Amoxicillin.</w:t>
      </w:r>
    </w:p>
    <w:p w14:paraId="0B86059B" w14:textId="77777777" w:rsidR="005448AE" w:rsidRDefault="005448AE" w:rsidP="00544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Timeline:</w:t>
      </w:r>
      <w:r>
        <w:rPr>
          <w:rFonts w:eastAsia="Times New Roman"/>
        </w:rPr>
        <w:t xml:space="preserve"> Symptoms appeared after treatment began; the exact onset time needs confirmation.</w:t>
      </w:r>
    </w:p>
    <w:p w14:paraId="2F91C29B" w14:textId="77777777" w:rsidR="005448AE" w:rsidRDefault="005448AE" w:rsidP="00544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Possible reaction:</w:t>
      </w:r>
      <w:r>
        <w:rPr>
          <w:rFonts w:eastAsia="Times New Roman"/>
        </w:rPr>
        <w:t xml:space="preserve"> A suspected medicine-associated skin reaction.</w:t>
      </w:r>
    </w:p>
    <w:p w14:paraId="05E3901A" w14:textId="77777777" w:rsidR="005448AE" w:rsidRDefault="005448AE" w:rsidP="00544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Other possible causes:</w:t>
      </w:r>
      <w:r>
        <w:rPr>
          <w:rFonts w:eastAsia="Times New Roman"/>
        </w:rPr>
        <w:t xml:space="preserve"> The underlying infection, other medicines, or an unrelated skin condition.</w:t>
      </w:r>
    </w:p>
    <w:p w14:paraId="061BD61E" w14:textId="77777777" w:rsidR="005448AE" w:rsidRDefault="005448AE" w:rsidP="00544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Initial assessment:</w:t>
      </w:r>
      <w:r>
        <w:rPr>
          <w:rFonts w:eastAsia="Times New Roman"/>
        </w:rPr>
        <w:t xml:space="preserve"> Amoxicillin may be associated with the reaction, but the available information is insufficient to confirm causality.</w:t>
      </w:r>
    </w:p>
    <w:p w14:paraId="74F1F7DD" w14:textId="77777777" w:rsidR="005448AE" w:rsidRDefault="005448AE">
      <w:pPr>
        <w:pStyle w:val="Heading3"/>
        <w:rPr>
          <w:rFonts w:eastAsia="Times New Roman"/>
        </w:rPr>
      </w:pPr>
      <w:r>
        <w:rPr>
          <w:rFonts w:eastAsia="Times New Roman"/>
        </w:rPr>
        <w:t>5. Causality Assessment</w:t>
      </w:r>
    </w:p>
    <w:p w14:paraId="01BED79E" w14:textId="77777777" w:rsidR="005448AE" w:rsidRDefault="005448AE">
      <w:pPr>
        <w:pStyle w:val="NormalWeb"/>
      </w:pPr>
      <w:r>
        <w:t>Causality assessment evaluates whether a suspected reaction may be related to a medicine. Important factors include:</w:t>
      </w:r>
    </w:p>
    <w:p w14:paraId="11628551" w14:textId="77777777" w:rsidR="005448AE" w:rsidRDefault="005448AE" w:rsidP="00544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Timing of the reaction.</w:t>
      </w:r>
    </w:p>
    <w:p w14:paraId="0BA141C2" w14:textId="77777777" w:rsidR="005448AE" w:rsidRDefault="005448AE" w:rsidP="00544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Known adverse effects of the medicine.</w:t>
      </w:r>
    </w:p>
    <w:p w14:paraId="446464FA" w14:textId="77777777" w:rsidR="005448AE" w:rsidRDefault="005448AE" w:rsidP="00544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Improvement after discontinuation, if applicable.</w:t>
      </w:r>
    </w:p>
    <w:p w14:paraId="5A8298D2" w14:textId="77777777" w:rsidR="005448AE" w:rsidRDefault="005448AE" w:rsidP="00544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Other possible causes.</w:t>
      </w:r>
    </w:p>
    <w:p w14:paraId="5F2D8D80" w14:textId="77777777" w:rsidR="005448AE" w:rsidRDefault="005448AE" w:rsidP="00544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clinical findings.</w:t>
      </w:r>
    </w:p>
    <w:p w14:paraId="719A3FD6" w14:textId="77777777" w:rsidR="005448AE" w:rsidRDefault="005448AE">
      <w:pPr>
        <w:pStyle w:val="NormalWeb"/>
      </w:pPr>
      <w:r>
        <w:t>Tools such as the WHO–UMC system and Naranjo algorithm can support causality assessment when sufficient information is available.</w:t>
      </w:r>
    </w:p>
    <w:p w14:paraId="458FFADD" w14:textId="77777777" w:rsidR="005448AE" w:rsidRDefault="005448AE">
      <w:pPr>
        <w:pStyle w:val="Heading3"/>
        <w:rPr>
          <w:rFonts w:eastAsia="Times New Roman"/>
        </w:rPr>
      </w:pPr>
      <w:r>
        <w:rPr>
          <w:rFonts w:eastAsia="Times New Roman"/>
        </w:rPr>
        <w:t>6. Seriousness and Severity</w:t>
      </w:r>
    </w:p>
    <w:p w14:paraId="3F97CF5F" w14:textId="77777777" w:rsidR="005448AE" w:rsidRDefault="005448AE">
      <w:pPr>
        <w:pStyle w:val="NormalWeb"/>
      </w:pPr>
      <w:r>
        <w:rPr>
          <w:rStyle w:val="Strong"/>
        </w:rPr>
        <w:t>Severity</w:t>
      </w:r>
      <w:r>
        <w:t xml:space="preserve"> refers to the intensity of a reaction and may be mild, moderate, or severe.</w:t>
      </w:r>
    </w:p>
    <w:p w14:paraId="3DFB363F" w14:textId="77777777" w:rsidR="005448AE" w:rsidRDefault="005448AE">
      <w:pPr>
        <w:pStyle w:val="NormalWeb"/>
      </w:pPr>
      <w:r>
        <w:rPr>
          <w:rStyle w:val="Strong"/>
        </w:rPr>
        <w:t>Seriousness</w:t>
      </w:r>
      <w:r>
        <w:t xml:space="preserve"> refers to outcomes such as death, a life-threatening event, </w:t>
      </w:r>
      <w:proofErr w:type="spellStart"/>
      <w:r>
        <w:t>hospitalisation</w:t>
      </w:r>
      <w:proofErr w:type="spellEnd"/>
      <w:r>
        <w:t>, significant disability, or a congenital anomaly.</w:t>
      </w:r>
    </w:p>
    <w:p w14:paraId="695CD458" w14:textId="77777777" w:rsidR="005448AE" w:rsidRDefault="005448AE">
      <w:pPr>
        <w:pStyle w:val="NormalWeb"/>
      </w:pPr>
      <w:r>
        <w:t>These terms have different meanings and should not be confused.</w:t>
      </w:r>
    </w:p>
    <w:p w14:paraId="294B1C6C" w14:textId="77777777" w:rsidR="005448AE" w:rsidRDefault="005448AE">
      <w:pPr>
        <w:pStyle w:val="Heading3"/>
        <w:rPr>
          <w:rFonts w:eastAsia="Times New Roman"/>
        </w:rPr>
      </w:pPr>
      <w:r>
        <w:rPr>
          <w:rFonts w:eastAsia="Times New Roman"/>
        </w:rPr>
        <w:t>7. Conclusion</w:t>
      </w:r>
    </w:p>
    <w:p w14:paraId="418E16A7" w14:textId="77777777" w:rsidR="005448AE" w:rsidRDefault="005448AE">
      <w:pPr>
        <w:pStyle w:val="NormalWeb"/>
      </w:pPr>
      <w:r>
        <w:t>ADR identification involves reviewing symptoms, medication history, timelines, and other possible causes to identify a suspected medicine-related reaction. Careful assessment helps support patient safety and the appropriate monitoring of medicine-related risks.</w:t>
      </w:r>
    </w:p>
    <w:p w14:paraId="7EE13AEA" w14:textId="77777777" w:rsidR="005448AE" w:rsidRDefault="005448AE"/>
    <w:sectPr w:rsidR="00544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E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268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6251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C719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181216">
    <w:abstractNumId w:val="1"/>
  </w:num>
  <w:num w:numId="2" w16cid:durableId="1036393780">
    <w:abstractNumId w:val="2"/>
  </w:num>
  <w:num w:numId="3" w16cid:durableId="2046246050">
    <w:abstractNumId w:val="0"/>
  </w:num>
  <w:num w:numId="4" w16cid:durableId="1733961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AE"/>
    <w:rsid w:val="005448AE"/>
    <w:rsid w:val="0087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0B3BC"/>
  <w15:chartTrackingRefBased/>
  <w15:docId w15:val="{1632F67A-1A07-5343-BE65-51A559156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8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48A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48AE"/>
    <w:rPr>
      <w:b/>
      <w:bCs/>
    </w:rPr>
  </w:style>
  <w:style w:type="character" w:styleId="Emphasis">
    <w:name w:val="Emphasis"/>
    <w:basedOn w:val="DefaultParagraphFont"/>
    <w:uiPriority w:val="20"/>
    <w:qFormat/>
    <w:rsid w:val="005448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Manjrekar</dc:creator>
  <cp:keywords/>
  <dc:description/>
  <cp:lastModifiedBy>Samiksha Manjrekar</cp:lastModifiedBy>
  <cp:revision>2</cp:revision>
  <dcterms:created xsi:type="dcterms:W3CDTF">2026-10-02T06:06:00Z</dcterms:created>
  <dcterms:modified xsi:type="dcterms:W3CDTF">2026-10-02T06:06:00Z</dcterms:modified>
</cp:coreProperties>
</file>