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6"/>
        <w:gridCol w:w="5566"/>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p>
          <w:p w14:paraId="7D4DF24C" w14:textId="4393C8B2" w:rsidR="00AF6825" w:rsidRPr="009123EB" w:rsidRDefault="00AF6825" w:rsidP="007E13C4">
            <w:pPr>
              <w:snapToGrid w:val="0"/>
              <w:jc w:val="both"/>
              <w:rPr>
                <w:rFonts w:ascii="Arial" w:hAnsi="Arial" w:cs="Arial"/>
                <w:b/>
                <w:bCs/>
                <w:iCs/>
                <w:sz w:val="20"/>
                <w:highlight w:val="yellow"/>
              </w:rPr>
            </w:pPr>
          </w:p>
        </w:tc>
        <w:tc>
          <w:tcPr>
            <w:tcW w:w="5580" w:type="dxa"/>
          </w:tcPr>
          <w:p w14:paraId="0D159C35" w14:textId="6A126CB4" w:rsidR="00B46E91" w:rsidRPr="0017795A" w:rsidRDefault="00C035FB"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br/>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C035FB" w:rsidP="00C035FB">
            <w:pPr>
              <w:snapToGrid w:val="0"/>
              <w:rPr>
                <w:rFonts w:ascii="Arial" w:hAnsi="Arial" w:cs="Arial"/>
                <w:sz w:val="20"/>
              </w:rPr>
            </w:pP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C035FB" w:rsidP="00C035FB">
            <w:pPr>
              <w:snapToGrid w:val="0"/>
              <w:rPr>
                <w:rFonts w:ascii="Arial" w:hAnsi="Arial" w:cs="Arial"/>
                <w:sz w:val="20"/>
              </w:rPr>
            </w:pP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C035FB" w:rsidP="00C035FB">
            <w:pPr>
              <w:snapToGrid w:val="0"/>
              <w:rPr>
                <w:rFonts w:ascii="Arial" w:hAnsi="Arial" w:cs="Arial"/>
                <w:sz w:val="20"/>
              </w:rPr>
            </w:pP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C035FB" w:rsidP="00C035FB">
            <w:pPr>
              <w:overflowPunct/>
              <w:autoSpaceDE/>
              <w:autoSpaceDN/>
              <w:adjustRightInd/>
              <w:spacing w:before="240" w:after="240"/>
              <w:textAlignment w:val="auto"/>
              <w:rPr>
                <w:rFonts w:ascii="Arial" w:hAnsi="Arial" w:cs="Arial"/>
                <w:spacing w:val="2"/>
                <w:sz w:val="21"/>
                <w:szCs w:val="21"/>
                <w:lang w:val="en-IN"/>
              </w:rPr>
            </w:pP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B46E91" w:rsidP="007E13C4">
            <w:pPr>
              <w:snapToGrid w:val="0"/>
              <w:rPr>
                <w:rFonts w:ascii="Arial" w:hAnsi="Arial" w:cs="Arial"/>
                <w:sz w:val="20"/>
              </w:rPr>
            </w:pP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B46E91" w:rsidP="007E13C4">
            <w:pPr>
              <w:snapToGrid w:val="0"/>
              <w:rPr>
                <w:rFonts w:ascii="Arial" w:hAnsi="Arial" w:cs="Arial"/>
                <w:sz w:val="20"/>
              </w:rPr>
            </w:pP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B46E91" w:rsidP="007E13C4">
            <w:pPr>
              <w:snapToGrid w:val="0"/>
              <w:rPr>
                <w:rFonts w:ascii="Arial" w:hAnsi="Arial" w:cs="Arial"/>
                <w:sz w:val="20"/>
              </w:rPr>
            </w:pP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B46E91" w:rsidP="007E13C4">
            <w:pPr>
              <w:snapToGrid w:val="0"/>
              <w:rPr>
                <w:rFonts w:ascii="Arial" w:hAnsi="Arial" w:cs="Arial"/>
                <w:sz w:val="20"/>
              </w:rPr>
            </w:pP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for Your internal business operations.  You may allow Your agents and contractors to use the services and </w:t>
      </w:r>
      <w:r w:rsidRPr="00E03ABD">
        <w:rPr>
          <w:rFonts w:ascii="Arial" w:hAnsi="Arial" w:cs="Arial"/>
          <w:sz w:val="20"/>
        </w:rPr>
        <w:lastRenderedPageBreak/>
        <w:t xml:space="preserve">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3C1CE1" w:rsidP="00BE2AC7">
      <w:pPr>
        <w:ind w:left="720"/>
        <w:jc w:val="both"/>
        <w:rPr>
          <w:rFonts w:ascii="Arial" w:hAnsi="Arial" w:cs="Arial"/>
          <w:color w:val="000000" w:themeColor="text1"/>
          <w:spacing w:val="2"/>
          <w:sz w:val="21"/>
          <w:szCs w:val="21"/>
        </w:rPr>
      </w:pPr>
    </w:p>
    <w:p w14:paraId="6A384807" w14:textId="0929FF8C" w:rsidR="00644DBD" w:rsidRPr="009123EB" w:rsidRDefault="00644DBD" w:rsidP="0058402F">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Service: Design and Development / Test / Post-Go-live support for Data Extraction, Compression, and transfer Implementation</w:t>
      </w:r>
    </w:p>
    <w:p w14:paraId="1B189D85" w14:textId="089675AC" w:rsidR="00644DBD" w:rsidRPr="009123EB" w:rsidRDefault="00644DBD" w:rsidP="0058402F">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Description: We will cover the following activities:</w:t>
      </w:r>
      <w:r w:rsidRPr="009123EB">
        <w:rPr>
          <w:rFonts w:ascii="Arial" w:hAnsi="Arial" w:cs="Arial"/>
          <w:color w:val="000000" w:themeColor="text1"/>
          <w:spacing w:val="2"/>
          <w:sz w:val="21"/>
          <w:szCs w:val="21"/>
        </w:rPr>
        <w:br/>
      </w:r>
      <w:r w:rsidRPr="009123EB">
        <w:rPr>
          <w:rFonts w:ascii="Arial" w:hAnsi="Arial" w:cs="Arial"/>
          <w:color w:val="000000" w:themeColor="text1"/>
          <w:spacing w:val="2"/>
          <w:sz w:val="21"/>
          <w:szCs w:val="21"/>
        </w:rPr>
        <w:br/>
        <w:t>- Design Review  Feedback</w:t>
      </w:r>
      <w:r w:rsidRPr="009123EB">
        <w:rPr>
          <w:rFonts w:ascii="Arial" w:hAnsi="Arial" w:cs="Arial"/>
          <w:color w:val="000000" w:themeColor="text1"/>
          <w:spacing w:val="2"/>
          <w:sz w:val="21"/>
          <w:szCs w:val="21"/>
        </w:rPr>
        <w:br/>
        <w:t>- Development of Applications</w:t>
      </w:r>
      <w:r w:rsidRPr="009123EB">
        <w:rPr>
          <w:rFonts w:ascii="Arial" w:hAnsi="Arial" w:cs="Arial"/>
          <w:color w:val="000000" w:themeColor="text1"/>
          <w:spacing w:val="2"/>
          <w:sz w:val="21"/>
          <w:szCs w:val="21"/>
        </w:rPr>
        <w:br/>
        <w:t xml:space="preserve">    - File Transfer mechanism</w:t>
      </w:r>
      <w:r w:rsidRPr="009123EB">
        <w:rPr>
          <w:rFonts w:ascii="Arial" w:hAnsi="Arial" w:cs="Arial"/>
          <w:color w:val="000000" w:themeColor="text1"/>
          <w:spacing w:val="2"/>
          <w:sz w:val="21"/>
          <w:szCs w:val="21"/>
        </w:rPr>
        <w:br/>
        <w:t>- Quality Assurance</w:t>
      </w:r>
      <w:r w:rsidRPr="009123EB">
        <w:rPr>
          <w:rFonts w:ascii="Arial" w:hAnsi="Arial" w:cs="Arial"/>
          <w:color w:val="000000" w:themeColor="text1"/>
          <w:spacing w:val="2"/>
          <w:sz w:val="21"/>
          <w:szCs w:val="21"/>
        </w:rPr>
        <w:br/>
        <w:t xml:space="preserve">    - Connectivity</w:t>
      </w:r>
      <w:r w:rsidRPr="009123EB">
        <w:rPr>
          <w:rFonts w:ascii="Arial" w:hAnsi="Arial" w:cs="Arial"/>
          <w:color w:val="000000" w:themeColor="text1"/>
          <w:spacing w:val="2"/>
          <w:sz w:val="21"/>
          <w:szCs w:val="21"/>
        </w:rPr>
        <w:br/>
        <w:t xml:space="preserve">    - SIT</w:t>
      </w:r>
      <w:r w:rsidRPr="009123EB">
        <w:rPr>
          <w:rFonts w:ascii="Arial" w:hAnsi="Arial" w:cs="Arial"/>
          <w:color w:val="000000" w:themeColor="text1"/>
          <w:spacing w:val="2"/>
          <w:sz w:val="21"/>
          <w:szCs w:val="21"/>
        </w:rPr>
        <w:br/>
        <w:t xml:space="preserve">    - Functional</w:t>
      </w:r>
      <w:r w:rsidRPr="009123EB">
        <w:rPr>
          <w:rFonts w:ascii="Arial" w:hAnsi="Arial" w:cs="Arial"/>
          <w:color w:val="000000" w:themeColor="text1"/>
          <w:spacing w:val="2"/>
          <w:sz w:val="21"/>
          <w:szCs w:val="21"/>
        </w:rPr>
        <w:br/>
        <w:t xml:space="preserve">    - Non-Functional (Performance, HA  DR)</w:t>
      </w:r>
      <w:r w:rsidRPr="009123EB">
        <w:rPr>
          <w:rFonts w:ascii="Arial" w:hAnsi="Arial" w:cs="Arial"/>
          <w:color w:val="000000" w:themeColor="text1"/>
          <w:spacing w:val="2"/>
          <w:sz w:val="21"/>
          <w:szCs w:val="21"/>
        </w:rPr>
        <w:br/>
        <w:t>- TDM Coordination</w:t>
      </w:r>
      <w:r w:rsidRPr="009123EB">
        <w:rPr>
          <w:rFonts w:ascii="Arial" w:hAnsi="Arial" w:cs="Arial"/>
          <w:color w:val="000000" w:themeColor="text1"/>
          <w:spacing w:val="2"/>
          <w:sz w:val="21"/>
          <w:szCs w:val="21"/>
        </w:rPr>
        <w:br/>
        <w:t>- Pre-Go Live Support</w:t>
      </w:r>
      <w:r w:rsidRPr="009123EB">
        <w:rPr>
          <w:rFonts w:ascii="Arial" w:hAnsi="Arial" w:cs="Arial"/>
          <w:color w:val="000000" w:themeColor="text1"/>
          <w:spacing w:val="2"/>
          <w:sz w:val="21"/>
          <w:szCs w:val="21"/>
        </w:rPr>
        <w:br/>
        <w:t>- Go Live Support</w:t>
      </w:r>
      <w:r w:rsidRPr="009123EB">
        <w:rPr>
          <w:rFonts w:ascii="Arial" w:hAnsi="Arial" w:cs="Arial"/>
          <w:color w:val="000000" w:themeColor="text1"/>
          <w:spacing w:val="2"/>
          <w:sz w:val="21"/>
          <w:szCs w:val="21"/>
        </w:rPr>
        <w:br/>
        <w:t>- Post Go Live Support</w:t>
      </w:r>
      <w:r w:rsidRPr="009123EB">
        <w:rPr>
          <w:rFonts w:ascii="Arial" w:hAnsi="Arial" w:cs="Arial"/>
          <w:color w:val="000000" w:themeColor="text1"/>
          <w:spacing w:val="2"/>
          <w:sz w:val="21"/>
          <w:szCs w:val="21"/>
        </w:rPr>
        <w:br/>
      </w:r>
      <w:r w:rsidRPr="009123EB">
        <w:rPr>
          <w:rFonts w:ascii="Arial" w:hAnsi="Arial" w:cs="Arial"/>
          <w:color w:val="000000" w:themeColor="text1"/>
          <w:spacing w:val="2"/>
          <w:sz w:val="21"/>
          <w:szCs w:val="21"/>
        </w:rPr>
        <w:br/>
        <w:t>Items identified in scope are listed below:</w:t>
      </w:r>
      <w:r w:rsidRPr="009123EB">
        <w:rPr>
          <w:rFonts w:ascii="Arial" w:hAnsi="Arial" w:cs="Arial"/>
          <w:color w:val="000000" w:themeColor="text1"/>
          <w:spacing w:val="2"/>
          <w:sz w:val="21"/>
          <w:szCs w:val="21"/>
        </w:rPr>
        <w:br/>
        <w:t>1. Requirements review  feedback.</w:t>
      </w:r>
      <w:r w:rsidRPr="009123EB">
        <w:rPr>
          <w:rFonts w:ascii="Arial" w:hAnsi="Arial" w:cs="Arial"/>
          <w:color w:val="000000" w:themeColor="text1"/>
          <w:spacing w:val="2"/>
          <w:sz w:val="21"/>
          <w:szCs w:val="21"/>
        </w:rPr>
        <w:br/>
        <w:t>2. Test documentation</w:t>
      </w:r>
      <w:r w:rsidRPr="009123EB">
        <w:rPr>
          <w:rFonts w:ascii="Arial" w:hAnsi="Arial" w:cs="Arial"/>
          <w:color w:val="000000" w:themeColor="text1"/>
          <w:spacing w:val="2"/>
          <w:sz w:val="21"/>
          <w:szCs w:val="21"/>
        </w:rPr>
        <w:br/>
        <w:t>3. Development of Data Extraction using View/Query through Sprint #1.</w:t>
      </w:r>
      <w:r w:rsidRPr="009123EB">
        <w:rPr>
          <w:rFonts w:ascii="Arial" w:hAnsi="Arial" w:cs="Arial"/>
          <w:color w:val="000000" w:themeColor="text1"/>
          <w:spacing w:val="2"/>
          <w:sz w:val="21"/>
          <w:szCs w:val="21"/>
        </w:rPr>
        <w:br/>
        <w:t>4. Development of File Compression  Hashing for the Data Extracted through Sprint #2.</w:t>
      </w:r>
      <w:r w:rsidRPr="009123EB">
        <w:rPr>
          <w:rFonts w:ascii="Arial" w:hAnsi="Arial" w:cs="Arial"/>
          <w:color w:val="000000" w:themeColor="text1"/>
          <w:spacing w:val="2"/>
          <w:sz w:val="21"/>
          <w:szCs w:val="21"/>
        </w:rPr>
        <w:br/>
        <w:t>5. Development of File Transfer interface for the Compressed Data through Sprint #3.</w:t>
      </w:r>
      <w:r w:rsidRPr="009123EB">
        <w:rPr>
          <w:rFonts w:ascii="Arial" w:hAnsi="Arial" w:cs="Arial"/>
          <w:color w:val="000000" w:themeColor="text1"/>
          <w:spacing w:val="2"/>
          <w:sz w:val="21"/>
          <w:szCs w:val="21"/>
        </w:rPr>
        <w:br/>
        <w:t>6. Development of Archival/ Data retention and Recovery option for File transfer through Sprint #4.</w:t>
      </w:r>
      <w:r w:rsidRPr="009123EB">
        <w:rPr>
          <w:rFonts w:ascii="Arial" w:hAnsi="Arial" w:cs="Arial"/>
          <w:color w:val="000000" w:themeColor="text1"/>
          <w:spacing w:val="2"/>
          <w:sz w:val="21"/>
          <w:szCs w:val="21"/>
        </w:rPr>
        <w:br/>
        <w:t>7. Three (3) Weeks of Functional Testing (FIT) support activities.</w:t>
      </w:r>
      <w:r w:rsidRPr="009123EB">
        <w:rPr>
          <w:rFonts w:ascii="Arial" w:hAnsi="Arial" w:cs="Arial"/>
          <w:color w:val="000000" w:themeColor="text1"/>
          <w:spacing w:val="2"/>
          <w:sz w:val="21"/>
          <w:szCs w:val="21"/>
        </w:rPr>
        <w:br/>
        <w:t>8. Two (2) Weeks of User Acceptance Testing (UAT) support activities.</w:t>
      </w:r>
      <w:r w:rsidRPr="009123EB">
        <w:rPr>
          <w:rFonts w:ascii="Arial" w:hAnsi="Arial" w:cs="Arial"/>
          <w:color w:val="000000" w:themeColor="text1"/>
          <w:spacing w:val="2"/>
          <w:sz w:val="21"/>
          <w:szCs w:val="21"/>
        </w:rPr>
        <w:br/>
        <w:t>9. One (1) Week of System Integration Testing (SIT) support activities.</w:t>
      </w:r>
      <w:r w:rsidRPr="009123EB">
        <w:rPr>
          <w:rFonts w:ascii="Arial" w:hAnsi="Arial" w:cs="Arial"/>
          <w:color w:val="000000" w:themeColor="text1"/>
          <w:spacing w:val="2"/>
          <w:sz w:val="21"/>
          <w:szCs w:val="21"/>
        </w:rPr>
        <w:br/>
        <w:t>10. One week (1) Weeks of Non-Functional Testing (NFT) support activities.</w:t>
      </w:r>
      <w:r w:rsidRPr="009123EB">
        <w:rPr>
          <w:rFonts w:ascii="Arial" w:hAnsi="Arial" w:cs="Arial"/>
          <w:color w:val="000000" w:themeColor="text1"/>
          <w:spacing w:val="2"/>
          <w:sz w:val="21"/>
          <w:szCs w:val="21"/>
        </w:rPr>
        <w:br/>
        <w:t>11. Defect Triage  Test Summary Report Documentation</w:t>
      </w:r>
      <w:r w:rsidRPr="009123EB">
        <w:rPr>
          <w:rFonts w:ascii="Arial" w:hAnsi="Arial" w:cs="Arial"/>
          <w:color w:val="000000" w:themeColor="text1"/>
          <w:spacing w:val="2"/>
          <w:sz w:val="21"/>
          <w:szCs w:val="21"/>
        </w:rPr>
        <w:br/>
        <w:t>12. TDM Coordination with FIS Vendor, Change  Delivery teams.</w:t>
      </w:r>
      <w:r w:rsidRPr="009123EB">
        <w:rPr>
          <w:rFonts w:ascii="Arial" w:hAnsi="Arial" w:cs="Arial"/>
          <w:color w:val="000000" w:themeColor="text1"/>
          <w:spacing w:val="2"/>
          <w:sz w:val="21"/>
          <w:szCs w:val="21"/>
        </w:rPr>
        <w:br/>
        <w:t>13. One (1) week of pre-Go-live support.</w:t>
      </w:r>
      <w:r w:rsidRPr="009123EB">
        <w:rPr>
          <w:rFonts w:ascii="Arial" w:hAnsi="Arial" w:cs="Arial"/>
          <w:color w:val="000000" w:themeColor="text1"/>
          <w:spacing w:val="2"/>
          <w:sz w:val="21"/>
          <w:szCs w:val="21"/>
        </w:rPr>
        <w:br/>
        <w:t>14. Go-live support.</w:t>
      </w:r>
      <w:r w:rsidRPr="009123EB">
        <w:rPr>
          <w:rFonts w:ascii="Arial" w:hAnsi="Arial" w:cs="Arial"/>
          <w:color w:val="000000" w:themeColor="text1"/>
          <w:spacing w:val="2"/>
          <w:sz w:val="21"/>
          <w:szCs w:val="21"/>
        </w:rPr>
        <w:br/>
        <w:t>15. One (1) week of post-Go-live support.</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Duration: See project timeline</w:t>
      </w:r>
    </w:p>
    <w:p w14:paraId="3BB9CC6D" w14:textId="40DAAC10" w:rsidR="00644DBD" w:rsidRPr="009123EB" w:rsidRDefault="00644DBD" w:rsidP="00BE2AC7">
      <w:pPr>
        <w:ind w:left="720"/>
        <w:jc w:val="both"/>
        <w:rPr>
          <w:rFonts w:ascii="Arial" w:hAnsi="Arial" w:cs="Arial"/>
          <w:color w:val="000000" w:themeColor="text1"/>
          <w:sz w:val="20"/>
        </w:rPr>
      </w:pP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Total Sprints: 0</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lastRenderedPageBreak/>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0</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BCE1C" w14:textId="77777777" w:rsidR="00D3552C" w:rsidRDefault="00D3552C">
      <w:r>
        <w:separator/>
      </w:r>
    </w:p>
  </w:endnote>
  <w:endnote w:type="continuationSeparator" w:id="0">
    <w:p w14:paraId="2DCF6719" w14:textId="77777777" w:rsidR="00D3552C" w:rsidRDefault="00D35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4FE74" w14:textId="77777777" w:rsidR="00D3552C" w:rsidRDefault="00D3552C">
      <w:r>
        <w:separator/>
      </w:r>
    </w:p>
  </w:footnote>
  <w:footnote w:type="continuationSeparator" w:id="0">
    <w:p w14:paraId="3F29EB78" w14:textId="77777777" w:rsidR="00D3552C" w:rsidRDefault="00D355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8402F"/>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3552C"/>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6665055-977f-4acd-9884-1bec8e5ad200}"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Template>
  <TotalTime>297</TotalTime>
  <Pages>1</Pages>
  <Words>1230</Words>
  <Characters>7013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59</cp:revision>
  <dcterms:created xsi:type="dcterms:W3CDTF">2025-07-18T12:44:00Z</dcterms:created>
  <dcterms:modified xsi:type="dcterms:W3CDTF">2025-11-05T07:04:00Z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