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3.0  •  September 2026  •  Finalized MVP Scope — Karnataka &amp; Tamil Nadu Validated</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pPr/>
      <w:r>
        <w:t>Changelog (v2.2): Outbound tanker dispatch and reconciliation/closing-stock reporting moved from Post-MVP (§23) into MVP (§17) — estimated at roughly 2-3 developer-weeks combined, reusing the idempotent-create and durable-outbox patterns already built twice (reception, then override). Dispatch's composite FAT/SNF is computed as a weighted average of receptions since the last dispatch — no tank sensor involved, consistent with §22 — working assumption, pending confirmation. §22's out-of-scope list and the deferred lab-test note under §10 are unchanged.</w:t>
      </w:r>
    </w:p>
    <w:p>
      <w:pPr/>
      <w:r>
        <w:t>Changelog (v3.0): BRD validated against real Karnataka/Tamil Nadu evidence (TUMUL's full ERP RFP, BAMUL's operating scale, Aavin's live-deployed stack) across both a private-CC lens and a cooperative-federation lens - see §24. Five additions approved and added to MVP: CIP compliance logging (record-keeping only, not tank/equipment telemetry - §22 unchanged on that point), device calibration tracking with due-date alerts, an optional parent-BMC/route field on Source, a read-only rate-chart reference at reception (no farmer-payment computation), and a notification-hook abstraction (SMS gateway wiring itself deferred). Dispatch gains tare/gross tanker weight fields; Reconciliation gains FAT/SNF variance tracking, not just quantity. Offline-media (USB) sync fallback and building a real SMS send-path were both explicitly considered and excluded from MVP - see §24.</w:t>
      </w:r>
    </w:p>
    <w:p w14:paraId="5671F696" w14:textId="77777777" w:rsidR="00344A9E" w:rsidRDefault="00000000">
      <w:pPr>
        <w:rPr>
          <w:rFonts w:hint="eastAsia"/>
        </w:rPr>
      </w:pPr>
      <w:r>
        <w:br w:type="page"/>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(v2.2): Dispatch and reconciliation reports are now part of the MVP. Chilling-tank, tank-stock and equipment-utilisation reports remain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r>
        <w:tc>
          <w:tcPr>
            <w:tcW w:type="dxa" w:w="4963"/>
          </w:tcPr>
          <w:p>
            <w:r>
              <w:t>Dispatch</w:t>
            </w:r>
          </w:p>
        </w:tc>
        <w:tc>
          <w:tcPr>
            <w:tcW w:type="dxa" w:w="4963"/>
          </w:tcPr>
          <w:p>
            <w:r>
              <w:t>Tanker loading; destination plant; quantity; tare weight; gross weight; composite FAT/SNF (weighted avg. of receptions since last dispatch); dispatch challan/seal number; local-first save; idempotent sync</w:t>
            </w:r>
          </w:p>
        </w:tc>
      </w:tr>
      <w:tr>
        <w:tc>
          <w:tcPr>
            <w:tcW w:type="dxa" w:w="4963"/>
          </w:tcPr>
          <w:p>
            <w:r>
              <w:t>Reconciliation</w:t>
            </w:r>
          </w:p>
        </w:tc>
        <w:tc>
          <w:tcPr>
            <w:tcW w:type="dxa" w:w="4963"/>
          </w:tcPr>
          <w:p>
            <w:r>
              <w:t>Daily opening + receipts - dispatches = closing stock; FAT/SNF variance tracking (not quantity alone); variance flag; report view</w:t>
            </w:r>
          </w:p>
        </w:tc>
      </w:tr>
      <w:tr>
        <w:tc>
          <w:tcPr>
            <w:tcW w:type="dxa" w:w="4963"/>
          </w:tcPr>
          <w:p>
            <w:r>
              <w:t>CIP Log</w:t>
            </w:r>
          </w:p>
        </w:tc>
        <w:tc>
          <w:tcPr>
            <w:tcW w:type="dxa" w:w="4963"/>
          </w:tcPr>
          <w:p>
            <w:r>
              <w:t>Compliance record only - date, tank/line id, operator, result; no chemical/temperature telemetry (§22 unchanged)</w:t>
            </w:r>
          </w:p>
        </w:tc>
      </w:tr>
      <w:tr>
        <w:tc>
          <w:tcPr>
            <w:tcW w:type="dxa" w:w="4963"/>
          </w:tcPr>
          <w:p>
            <w:r>
              <w:t>Calibration</w:t>
            </w:r>
          </w:p>
        </w:tc>
        <w:tc>
          <w:tcPr>
            <w:tcW w:type="dxa" w:w="4963"/>
          </w:tcPr>
          <w:p>
            <w:r>
              <w:t>Scale/analyser last-calibrated + next-due date, technician, result; due-date alert</w:t>
            </w:r>
          </w:p>
        </w:tc>
      </w:tr>
      <w:tr>
        <w:tc>
          <w:tcPr>
            <w:tcW w:type="dxa" w:w="4963"/>
          </w:tcPr>
          <w:p>
            <w:r>
              <w:t>Source Hierarchy</w:t>
            </w:r>
          </w:p>
        </w:tc>
        <w:tc>
          <w:tcPr>
            <w:tcW w:type="dxa" w:w="4963"/>
          </w:tcPr>
          <w:p>
            <w:r>
              <w:t>Optional parent BMC/route code on Source - blank for a private CC, populated for cooperative-tier deployments</w:t>
            </w:r>
          </w:p>
        </w:tc>
      </w:tr>
      <w:tr>
        <w:tc>
          <w:tcPr>
            <w:tcW w:type="dxa" w:w="4963"/>
          </w:tcPr>
          <w:p>
            <w:r>
              <w:t>Rate Chart Reference</w:t>
            </w:r>
          </w:p>
        </w:tc>
        <w:tc>
          <w:tcPr>
            <w:tcW w:type="dxa" w:w="4963"/>
          </w:tcPr>
          <w:p>
            <w:r>
              <w:t>Read-only current FAT/SNF rate chart display at reception - no computation, no farmer ledger</w:t>
            </w:r>
          </w:p>
        </w:tc>
      </w:tr>
      <w:tr>
        <w:tc>
          <w:tcPr>
            <w:tcW w:type="dxa" w:w="4963"/>
          </w:tcPr>
          <w:p>
            <w:r>
              <w:t>Notifications</w:t>
            </w:r>
          </w:p>
        </w:tc>
        <w:tc>
          <w:tcPr>
            <w:tcW w:type="dxa" w:w="4963"/>
          </w:tcPr>
          <w:p>
            <w:r>
              <w:t>Outbound-notification hook/abstraction only; SMS gateway wiring deferred (§24)</w:t>
            </w:r>
          </w:p>
        </w:tc>
      </w:tr>
    </w:tbl>
    <w:p>
      <w:pPr/>
      <w:r>
        <w:t>Note (v2.2): Outbound tanker dispatch and reconciliation/closing-stock reporting are now part of the MVP (moved from Post-MVP — see §23 and the v2.2 changelog above). Chilling-tank tracking, bulk storage tank telemetry, CIP and plant/equipment monitoring remain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telemetry — chemical usage, temperature/time curves, equipment cleaning history (unchanged, still out of scope). Note (v3.0): a separate, lightweight CIP compliance LOG (date/operator/result, no telemetry) is in MVP - see §17, §24. This is not a reversal of the telemetry decision, which stands.</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 Priority raised (v3.0): both the TUMUL RFP and Aavin's live field deployment confirm this is already-expected, not speculative — treat as the top priority the moment device/instrument work resumes.</w:t>
      </w:r>
    </w:p>
    <w:p>
      <w:pPr>
        <w:pStyle w:val="Heading1"/>
      </w:pPr>
      <w:r>
        <w:t>23. Post-MVP Roadmap</w:t>
      </w:r>
    </w:p>
    <w:p>
      <w:pPr/>
      <w:r>
        <w:rPr>
          <w:b/>
        </w:rPr>
        <w:t>Superseded (v2.2): both capabilities below moved into MVP (§17) — see the v2.2 changelog. Kept here for the original in-scope-vs-descoped reasoning and the vendor evidence behind it, not as a current Post-MVP list.</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(v2.2): within the MVP itself, build dispatch before reconciliation, since reconciliation depends on dispatch data existing. Both depend on reception and offline-first sync being stable first, which is already the case.</w:t>
      </w:r>
    </w:p>
    <w:p>
      <w:pPr>
        <w:pStyle w:val="Heading1"/>
      </w:pPr>
      <w:r>
        <w:t>24. Final Scope Validation — Karnataka &amp; Tamil Nadu (v3.0)</w:t>
      </w:r>
    </w:p>
    <w:p>
      <w:pPr/>
      <w:r>
        <w:t>Validated against two lenses: a private, independently-owned chilling centre (this BRD's original target), and cooperative-federation-scale operations - Karnataka's KMF and Tamil Nadu's Aavin district unions. Evidence base: a full 171-page ERP RFP from TUMUL (Tumkur District Co-operative Milk Producers Societies' Union, KMF-affiliated, Karnataka), BAMUL's real operating scale (Bengaluru, Karnataka - 7 chilling centres, 14.0 LLPD, 246 bulk milk coolers), and Aavin's live-deployed stack (Tamil Nadu - cloud-connected milk analysers tendered at 1,397 locations, 45 BMCs already live in Madurai district, quality-based pricing already operating in the field). No public RFP exists for a private operator, structurally - private-lens validation rests on the six-vendor landscape (§21) instead.</w:t>
      </w:r>
    </w:p>
    <w:p>
      <w:pPr/>
      <w:r>
        <w:t>Approved and added to MVP: CIP compliance logging (record only, not telemetry - §22 unchanged), device calibration tracking with due-date alerts, an optional parent-BMC/route field on Source (blank for a private CC), a read-only rate-chart reference at reception (no farmer-payment computation - confirmed this does not cross that boundary for how the product will be positioned), and an outbound-notification hook/abstraction (interface only, no SMS gateway wired in this pass). Dispatch and Reconciliation's MVP scope refined with tare/gross tanker weight and FAT/SNF variance tracking respectively.</w:t>
      </w:r>
    </w:p>
    <w:p>
      <w:pPr/>
      <w:r>
        <w:t>Explicitly considered and excluded from MVP: building a real SMS send-path (gateway account/integration) - deferred until a gateway is chosen, only the hook ships now. Offline-media (USB/pen-drive) sync fallback for zero-connectivity sites - low priority for the private-CC target, revisit only if a specific pilot site has no connectivity option at all. Chilling-tank/bulk-storage/plant-equipment telemetry, farmer/pourer payment computation, and full rate-chart authorship all remain out of scope, confirmed correct by both lenses (§22 unchanged).</w:t>
      </w:r>
    </w:p>
    <w:p>
      <w:pPr/>
      <w:r>
        <w:t>This scope was reviewed and signed off; the BRD is considered finalized at v3.0 for the Windows application and cloud API. Hardware/device protocol work (Videocon scale, milk analyser) remains separately tracked and out of scope for this revision, per instruction.</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