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CareSync AI — Design Specification</w:t>
      </w:r>
    </w:p>
    <w:p>
      <w:pPr>
        <w:pStyle w:val="IntenseQuote"/>
      </w:pPr>
      <w:r>
        <w:t xml:space="preserve">A HL7-standards-based, agentic care-coordination platform. AI agents read a patient's real FHIR R4 record, produce risk/care-gap/SDOH findings with citations back to the source resources, and turn them into actionable FHIR </w:t>
      </w:r>
      <w:r>
        <w:rPr>
          <w:rFonts w:ascii="Courier New" w:hAnsi="Courier New"/>
          <w:color w:val="B03060"/>
          <w:sz w:val="19"/>
        </w:rPr>
        <w:t>Task</w:t>
      </w:r>
      <w:r>
        <w:t xml:space="preserve"> work items for care teams — with a governance/audit layer over every read and write.</w:t>
      </w:r>
    </w:p>
    <w:p/>
    <w:p>
      <w:pPr>
        <w:pStyle w:val="Heading2"/>
      </w:pPr>
      <w:r/>
      <w:r>
        <w:t>1. Overview</w:t>
      </w:r>
    </w:p>
    <w:p>
      <w:pPr>
        <w:pStyle w:val="Heading3"/>
      </w:pPr>
      <w:r/>
      <w:r>
        <w:t>1.1 Purpose</w:t>
      </w:r>
    </w:p>
    <w:p>
      <w:r>
        <w:t>CareSync AI closes the gap between population risk models and front-line action. It:</w:t>
      </w:r>
    </w:p>
    <w:p>
      <w:pPr>
        <w:pStyle w:val="ListBullet"/>
      </w:pPr>
      <w:r>
        <w:t>Reads a patient's complete FHIR bundle (</w:t>
      </w:r>
      <w:r>
        <w:rPr>
          <w:rFonts w:ascii="Courier New" w:hAnsi="Courier New"/>
          <w:color w:val="B03060"/>
          <w:sz w:val="19"/>
        </w:rPr>
        <w:t>$everything</w:t>
      </w:r>
      <w:r>
        <w:t>).</w:t>
      </w:r>
    </w:p>
    <w:p>
      <w:pPr>
        <w:pStyle w:val="ListBullet"/>
      </w:pPr>
      <w:r>
        <w:t xml:space="preserve">Runs four cooperating AI agents to identify </w:t>
      </w:r>
      <w:r>
        <w:rPr>
          <w:b/>
        </w:rPr>
        <w:t>risk flags</w:t>
      </w:r>
      <w:r>
        <w:t xml:space="preserve">, </w:t>
      </w:r>
      <w:r>
        <w:rPr>
          <w:b/>
        </w:rPr>
        <w:t>care gaps</w:t>
      </w:r>
      <w:r>
        <w:t xml:space="preserve">, </w:t>
      </w:r>
      <w:r>
        <w:rPr>
          <w:b/>
        </w:rPr>
        <w:t>SDOH barriers</w:t>
      </w:r>
      <w:r>
        <w:t xml:space="preserve">, and a synthesized </w:t>
      </w:r>
      <w:r>
        <w:rPr>
          <w:b/>
        </w:rPr>
        <w:t>action plan</w:t>
      </w:r>
      <w:r>
        <w:t>.</w:t>
      </w:r>
    </w:p>
    <w:p>
      <w:pPr>
        <w:pStyle w:val="ListBullet"/>
      </w:pPr>
      <w:r>
        <w:t>Enforces that every AI finding cites a real FHIR resource in the retrieved bundle (hallucination surface removed).</w:t>
      </w:r>
    </w:p>
    <w:p>
      <w:pPr>
        <w:pStyle w:val="ListBullet"/>
      </w:pPr>
      <w:r>
        <w:t>Streams reasoning + findings live to the UI over Server-Sent Events (SSE).</w:t>
      </w:r>
    </w:p>
    <w:p>
      <w:pPr>
        <w:pStyle w:val="ListBullet"/>
      </w:pPr>
      <w:r>
        <w:t xml:space="preserve">Persists structured work as FHIR </w:t>
      </w:r>
      <w:r>
        <w:rPr>
          <w:rFonts w:ascii="Courier New" w:hAnsi="Courier New"/>
          <w:color w:val="B03060"/>
          <w:sz w:val="19"/>
        </w:rPr>
        <w:t>Task</w:t>
      </w:r>
      <w:r>
        <w:t xml:space="preserve"> resources and surfaces them to coordinators.</w:t>
      </w:r>
    </w:p>
    <w:p>
      <w:pPr>
        <w:pStyle w:val="ListBullet"/>
      </w:pPr>
      <w:r>
        <w:t>Logs every FHIR read/write to an audit trail for governance review.</w:t>
      </w:r>
    </w:p>
    <w:p>
      <w:pPr>
        <w:pStyle w:val="Heading3"/>
      </w:pPr>
      <w:r/>
      <w:r>
        <w:t>1.2 Standards used (load-bearing)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FHIR R4</w:t>
            </w:r>
          </w:p>
        </w:tc>
        <w:tc>
          <w:tcPr>
            <w:tcW w:type="dxa" w:w="4320"/>
          </w:tcPr>
          <w:p>
            <w:r>
              <w:t>Patient-data backbone — every recommendation traces to a resource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SMART on FHIR</w:t>
            </w:r>
          </w:p>
        </w:tc>
        <w:tc>
          <w:tcPr>
            <w:tcW w:type="dxa" w:w="4320"/>
          </w:tcPr>
          <w:p>
            <w:r>
              <w:t>OAuth 2.0 scoped access to patient data (token minted, exchanged, cached, attached to HAPI calls)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CDS Hooks</w:t>
            </w:r>
          </w:p>
        </w:tc>
        <w:tc>
          <w:tcPr>
            <w:tcW w:type="dxa" w:w="4320"/>
          </w:tcPr>
          <w:p>
            <w:r>
              <w:t>Delivery of AI recommendations into EHR workflow (</w:t>
            </w:r>
            <w:r>
              <w:rPr>
                <w:rFonts w:ascii="Courier New" w:hAnsi="Courier New"/>
                <w:color w:val="B03060"/>
                <w:sz w:val="19"/>
              </w:rPr>
              <w:t>patient-view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FHIR Task</w:t>
            </w:r>
          </w:p>
        </w:tc>
        <w:tc>
          <w:tcPr>
            <w:tcW w:type="dxa" w:w="4320"/>
          </w:tcPr>
          <w:p>
            <w:r>
              <w:t>Structured work items for care coordinators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FHIR Subscription</w:t>
            </w:r>
          </w:p>
        </w:tc>
        <w:tc>
          <w:tcPr>
            <w:tcW w:type="dxa" w:w="4320"/>
          </w:tcPr>
          <w:p>
            <w:r>
              <w:t>Real-time push (rest-hook) from server to app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FHIR SDC</w:t>
            </w:r>
          </w:p>
        </w:tc>
        <w:tc>
          <w:tcPr>
            <w:tcW w:type="dxa" w:w="4320"/>
          </w:tcPr>
          <w:p>
            <w:r>
              <w:t>AHC-HRSN SDOH questionnaire administration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LOINC / SNOMED CT / RxNorm</w:t>
            </w:r>
          </w:p>
        </w:tc>
        <w:tc>
          <w:tcPr>
            <w:tcW w:type="dxa" w:w="4320"/>
          </w:tcPr>
          <w:p>
            <w:r>
              <w:t>Terminology bindings on resources</w:t>
            </w:r>
          </w:p>
        </w:tc>
      </w:tr>
    </w:tbl>
    <w:p/>
    <w:p>
      <w:pPr>
        <w:pStyle w:val="Heading2"/>
      </w:pPr>
      <w:r/>
      <w:r>
        <w:t>2. Architecture</w:t>
      </w:r>
    </w:p>
    <w:p>
      <w:pPr>
        <w:pStyle w:val="Heading3"/>
      </w:pPr>
      <w:r/>
      <w:r>
        <w:t>2.1 High-level</w:t>
      </w:r>
    </w:p>
    <w:p>
      <w:pPr>
        <w:ind w:left="120"/>
      </w:pPr>
      <w:r>
        <w:rPr>
          <w:rFonts w:ascii="Courier New" w:hAnsi="Courier New"/>
          <w:sz w:val="18"/>
        </w:rPr>
        <w:t>┌──────────────┐        SSE / REST         ┌────────────────┐      FHIR R4       ┌───────────────┐</w:t>
        <w:br/>
        <w:t>│  Web (React) │ ───────────────────────►  │  API (Express) │ ─────────────────► │  HAPI FHIR    │</w:t>
        <w:br/>
        <w:t>│  Vite + TS   │ ◄─── events / JSON ─────── │  TypeScript    │ ◄── rest-hook ──── │  (Docker)     │</w:t>
        <w:br/>
        <w:t>└──────────────┘                           └───────┬────────┘   Subscription     └───────────────┘</w:t>
        <w:br/>
        <w:t xml:space="preserve">                                                   │</w:t>
        <w:br/>
        <w:t xml:space="preserve">                                          ┌────────┴────────┐</w:t>
        <w:br/>
        <w:t xml:space="preserve">                                          │  SQLite         │  users · audit_log · analysis_cache</w:t>
        <w:br/>
        <w:t xml:space="preserve">                                          └─────────────────┘</w:t>
      </w:r>
    </w:p>
    <w:p>
      <w:pPr>
        <w:pStyle w:val="ListBullet"/>
      </w:pPr>
      <w:r>
        <w:rPr>
          <w:b/>
        </w:rPr>
        <w:t>Monorepo:</w:t>
      </w:r>
      <w:r>
        <w:t xml:space="preserve"> npm workspaces — </w:t>
      </w:r>
      <w:r>
        <w:rPr>
          <w:rFonts w:ascii="Courier New" w:hAnsi="Courier New"/>
          <w:color w:val="B03060"/>
          <w:sz w:val="19"/>
        </w:rPr>
        <w:t>apps/api</w:t>
      </w:r>
      <w:r>
        <w:t xml:space="preserve"> (backend) and </w:t>
      </w:r>
      <w:r>
        <w:rPr>
          <w:rFonts w:ascii="Courier New" w:hAnsi="Courier New"/>
          <w:color w:val="B03060"/>
          <w:sz w:val="19"/>
        </w:rPr>
        <w:t>apps/web</w:t>
      </w:r>
      <w:r>
        <w:t xml:space="preserve"> (frontend).</w:t>
      </w:r>
    </w:p>
    <w:p>
      <w:pPr>
        <w:pStyle w:val="ListBullet"/>
      </w:pPr>
      <w:r>
        <w:rPr>
          <w:b/>
        </w:rPr>
        <w:t>Data plane:</w:t>
      </w:r>
      <w:r>
        <w:t xml:space="preserve"> HAPI FHIR R4 is the system of record for clinical data + Tasks. SQLite holds only app-side state (auth, audit log, analysis cache).</w:t>
      </w:r>
    </w:p>
    <w:p>
      <w:pPr>
        <w:pStyle w:val="ListBullet"/>
      </w:pPr>
      <w:r>
        <w:rPr>
          <w:b/>
        </w:rPr>
        <w:t>Transport:</w:t>
      </w:r>
      <w:r>
        <w:t xml:space="preserve"> REST for CRUD; SSE for live agent streaming and cross-surface event relay.</w:t>
      </w:r>
    </w:p>
    <w:p>
      <w:pPr>
        <w:pStyle w:val="Heading3"/>
      </w:pPr>
      <w:r/>
      <w:r>
        <w:t>2.2 Backend (</w:t>
      </w:r>
      <w:r>
        <w:rPr>
          <w:rFonts w:ascii="Courier New" w:hAnsi="Courier New"/>
          <w:color w:val="B03060"/>
          <w:sz w:val="19"/>
        </w:rPr>
        <w:t>apps/api</w:t>
      </w:r>
      <w:r>
        <w:t>)</w:t>
      </w:r>
    </w:p>
    <w:p>
      <w:pPr>
        <w:pStyle w:val="ListBullet"/>
      </w:pPr>
      <w:r>
        <w:rPr>
          <w:b/>
        </w:rPr>
        <w:t>Runtime:</w:t>
      </w:r>
      <w:r>
        <w:t xml:space="preserve"> Node.js + Express (TypeScript).</w:t>
      </w:r>
    </w:p>
    <w:p>
      <w:pPr>
        <w:pStyle w:val="ListBullet"/>
      </w:pPr>
      <w:r>
        <w:rPr>
          <w:b/>
        </w:rPr>
        <w:t>Entry:</w:t>
      </w:r>
      <w:r>
        <w:t xml:space="preserve"> </w:t>
      </w:r>
      <w:r>
        <w:rPr>
          <w:rFonts w:ascii="Courier New" w:hAnsi="Courier New"/>
          <w:color w:val="B03060"/>
          <w:sz w:val="19"/>
        </w:rPr>
        <w:t>src/index.ts</w:t>
      </w:r>
      <w:r>
        <w:t xml:space="preserve"> — wires routers, SMART auth middleware, event hub, and boot-time FHIR Task Subscription registration.</w:t>
      </w:r>
    </w:p>
    <w:p>
      <w:pPr>
        <w:pStyle w:val="ListBullet"/>
      </w:pPr>
      <w:r>
        <w:rPr>
          <w:b/>
        </w:rPr>
        <w:t>Modules:</w:t>
      </w:r>
    </w:p>
    <w:p>
      <w:pPr>
        <w:pStyle w:val="ListBullet"/>
      </w:pPr>
      <w:r>
        <w:rPr>
          <w:rFonts w:ascii="Courier New" w:hAnsi="Courier New"/>
          <w:color w:val="B03060"/>
          <w:sz w:val="19"/>
        </w:rPr>
        <w:t>agents/</w:t>
      </w:r>
      <w:r>
        <w:t xml:space="preserve"> — the four agents + orchestrator + citation validator + confidence scorer.</w:t>
      </w:r>
    </w:p>
    <w:p>
      <w:pPr>
        <w:pStyle w:val="ListBullet"/>
      </w:pPr>
      <w:r>
        <w:rPr>
          <w:rFonts w:ascii="Courier New" w:hAnsi="Courier New"/>
          <w:color w:val="B03060"/>
          <w:sz w:val="19"/>
        </w:rPr>
        <w:t>fhir/</w:t>
      </w:r>
      <w:r>
        <w:t xml:space="preserve"> — </w:t>
      </w:r>
      <w:r>
        <w:rPr>
          <w:rFonts w:ascii="Courier New" w:hAnsi="Courier New"/>
          <w:color w:val="B03060"/>
          <w:sz w:val="19"/>
        </w:rPr>
        <w:t>FhirReadService</w:t>
      </w:r>
      <w:r>
        <w:t xml:space="preserve"> (scoped reads, </w:t>
      </w:r>
      <w:r>
        <w:rPr>
          <w:rFonts w:ascii="Courier New" w:hAnsi="Courier New"/>
          <w:color w:val="B03060"/>
          <w:sz w:val="19"/>
        </w:rPr>
        <w:t>$everything</w:t>
      </w:r>
      <w:r>
        <w:t xml:space="preserve"> bundle, Task read/replace), subscription setup.</w:t>
      </w:r>
    </w:p>
    <w:p>
      <w:pPr>
        <w:pStyle w:val="ListBullet"/>
      </w:pPr>
      <w:r>
        <w:rPr>
          <w:rFonts w:ascii="Courier New" w:hAnsi="Courier New"/>
          <w:color w:val="B03060"/>
          <w:sz w:val="19"/>
        </w:rPr>
        <w:t>smart/</w:t>
      </w:r>
      <w:r>
        <w:t xml:space="preserve"> — key-pair generation, token server, token client (SMART Backend Services).</w:t>
      </w:r>
    </w:p>
    <w:p>
      <w:pPr>
        <w:pStyle w:val="ListBullet"/>
      </w:pPr>
      <w:r>
        <w:rPr>
          <w:rFonts w:ascii="Courier New" w:hAnsi="Courier New"/>
          <w:color w:val="B03060"/>
          <w:sz w:val="19"/>
        </w:rPr>
        <w:t>middleware/</w:t>
      </w:r>
      <w:r>
        <w:t xml:space="preserve"> — </w:t>
      </w:r>
      <w:r>
        <w:rPr>
          <w:rFonts w:ascii="Courier New" w:hAnsi="Courier New"/>
          <w:color w:val="B03060"/>
          <w:sz w:val="19"/>
        </w:rPr>
        <w:t>requireAuth</w:t>
      </w:r>
      <w:r>
        <w:t xml:space="preserve"> (session), </w:t>
      </w:r>
      <w:r>
        <w:rPr>
          <w:rFonts w:ascii="Courier New" w:hAnsi="Courier New"/>
          <w:color w:val="B03060"/>
          <w:sz w:val="19"/>
        </w:rPr>
        <w:t>smartAuth</w:t>
      </w:r>
      <w:r>
        <w:t xml:space="preserve"> (scope enforcement per HTTP method).</w:t>
      </w:r>
    </w:p>
    <w:p>
      <w:pPr>
        <w:pStyle w:val="ListBullet"/>
      </w:pPr>
      <w:r>
        <w:rPr>
          <w:rFonts w:ascii="Courier New" w:hAnsi="Courier New"/>
          <w:color w:val="B03060"/>
          <w:sz w:val="19"/>
        </w:rPr>
        <w:t>db/</w:t>
      </w:r>
      <w:r>
        <w:t xml:space="preserve"> — migration, seed, audit, analysis cache.</w:t>
      </w:r>
    </w:p>
    <w:p>
      <w:pPr>
        <w:pStyle w:val="ListBullet"/>
      </w:pPr>
      <w:r>
        <w:rPr>
          <w:rFonts w:ascii="Courier New" w:hAnsi="Courier New"/>
          <w:color w:val="B03060"/>
          <w:sz w:val="19"/>
        </w:rPr>
        <w:t>routes/</w:t>
      </w:r>
      <w:r>
        <w:t xml:space="preserve"> — one router per surface (patients, analysis, population, governance, quality, team, tasks, sdoh, carePlans, alerts, events, cdsHooks).</w:t>
      </w:r>
    </w:p>
    <w:p>
      <w:pPr>
        <w:pStyle w:val="Heading3"/>
      </w:pPr>
      <w:r/>
      <w:r>
        <w:t>2.3 Frontend (</w:t>
      </w:r>
      <w:r>
        <w:rPr>
          <w:rFonts w:ascii="Courier New" w:hAnsi="Courier New"/>
          <w:color w:val="B03060"/>
          <w:sz w:val="19"/>
        </w:rPr>
        <w:t>apps/web</w:t>
      </w:r>
      <w:r>
        <w:t>)</w:t>
      </w:r>
    </w:p>
    <w:p>
      <w:pPr>
        <w:pStyle w:val="ListBullet"/>
      </w:pPr>
      <w:r>
        <w:rPr>
          <w:b/>
        </w:rPr>
        <w:t>Stack:</w:t>
      </w:r>
      <w:r>
        <w:t xml:space="preserve"> React 18 + TypeScript, Vite, React Router v6, TanStack Query, TailwindCSS.</w:t>
      </w:r>
    </w:p>
    <w:p>
      <w:pPr>
        <w:pStyle w:val="ListBullet"/>
      </w:pPr>
      <w:r>
        <w:rPr>
          <w:b/>
        </w:rPr>
        <w:t>Auth:</w:t>
      </w:r>
      <w:r>
        <w:t xml:space="preserve"> JWT stored in </w:t>
      </w:r>
      <w:r>
        <w:rPr>
          <w:rFonts w:ascii="Courier New" w:hAnsi="Courier New"/>
          <w:color w:val="B03060"/>
          <w:sz w:val="19"/>
        </w:rPr>
        <w:t>localStorage</w:t>
      </w:r>
      <w:r>
        <w:t xml:space="preserve">; </w:t>
      </w:r>
      <w:r>
        <w:rPr>
          <w:rFonts w:ascii="Courier New" w:hAnsi="Courier New"/>
          <w:color w:val="B03060"/>
          <w:sz w:val="19"/>
        </w:rPr>
        <w:t>apiFetch</w:t>
      </w:r>
      <w:r>
        <w:t xml:space="preserve"> attaches </w:t>
      </w:r>
      <w:r>
        <w:rPr>
          <w:rFonts w:ascii="Courier New" w:hAnsi="Courier New"/>
          <w:color w:val="B03060"/>
          <w:sz w:val="19"/>
        </w:rPr>
        <w:t>Bearer</w:t>
      </w:r>
      <w:r>
        <w:t xml:space="preserve"> token, emits a global logout event on </w:t>
      </w:r>
      <w:r>
        <w:rPr>
          <w:rFonts w:ascii="Courier New" w:hAnsi="Courier New"/>
          <w:color w:val="B03060"/>
          <w:sz w:val="19"/>
        </w:rPr>
        <w:t>401</w:t>
      </w:r>
      <w:r>
        <w:t>.</w:t>
      </w:r>
    </w:p>
    <w:p>
      <w:pPr>
        <w:pStyle w:val="ListBullet"/>
      </w:pPr>
      <w:r>
        <w:rPr>
          <w:b/>
        </w:rPr>
        <w:t>Structure:</w:t>
      </w:r>
      <w:r>
        <w:t xml:space="preserve"> </w:t>
      </w:r>
      <w:r>
        <w:rPr>
          <w:rFonts w:ascii="Courier New" w:hAnsi="Courier New"/>
          <w:color w:val="B03060"/>
          <w:sz w:val="19"/>
        </w:rPr>
        <w:t>pages/</w:t>
      </w:r>
      <w:r>
        <w:t xml:space="preserve"> (route screens), </w:t>
      </w:r>
      <w:r>
        <w:rPr>
          <w:rFonts w:ascii="Courier New" w:hAnsi="Courier New"/>
          <w:color w:val="B03060"/>
          <w:sz w:val="19"/>
        </w:rPr>
        <w:t>components/</w:t>
      </w:r>
      <w:r>
        <w:t xml:space="preserve"> (</w:t>
      </w:r>
      <w:r>
        <w:rPr>
          <w:rFonts w:ascii="Courier New" w:hAnsi="Courier New"/>
          <w:color w:val="B03060"/>
          <w:sz w:val="19"/>
        </w:rPr>
        <w:t>AppShell</w:t>
      </w:r>
      <w:r>
        <w:t xml:space="preserve">, guards), </w:t>
      </w:r>
      <w:r>
        <w:rPr>
          <w:rFonts w:ascii="Courier New" w:hAnsi="Courier New"/>
          <w:color w:val="B03060"/>
          <w:sz w:val="19"/>
        </w:rPr>
        <w:t>auth/</w:t>
      </w:r>
      <w:r>
        <w:t xml:space="preserve"> (context, </w:t>
      </w:r>
      <w:r>
        <w:rPr>
          <w:rFonts w:ascii="Courier New" w:hAnsi="Courier New"/>
          <w:color w:val="B03060"/>
          <w:sz w:val="19"/>
        </w:rPr>
        <w:t>RoleGuard</w:t>
      </w:r>
      <w:r>
        <w:t xml:space="preserve">), </w:t>
      </w:r>
      <w:r>
        <w:rPr>
          <w:rFonts w:ascii="Courier New" w:hAnsi="Courier New"/>
          <w:color w:val="B03060"/>
          <w:sz w:val="19"/>
        </w:rPr>
        <w:t>api/client.ts</w:t>
      </w:r>
      <w:r>
        <w:t xml:space="preserve"> (typed REST + SSE helpers), </w:t>
      </w:r>
      <w:r>
        <w:rPr>
          <w:rFonts w:ascii="Courier New" w:hAnsi="Courier New"/>
          <w:color w:val="B03060"/>
          <w:sz w:val="19"/>
        </w:rPr>
        <w:t>lib/</w:t>
      </w:r>
      <w:r>
        <w:t xml:space="preserve"> (view helpers, analysis graph).</w:t>
      </w:r>
    </w:p>
    <w:p/>
    <w:p>
      <w:pPr>
        <w:pStyle w:val="Heading2"/>
      </w:pPr>
      <w:r/>
      <w:r>
        <w:t>3. Agent System</w:t>
      </w:r>
    </w:p>
    <w:p>
      <w:pPr>
        <w:pStyle w:val="Heading3"/>
      </w:pPr>
      <w:r/>
      <w:r>
        <w:t>3.1 Contract</w:t>
      </w:r>
    </w:p>
    <w:p>
      <w:r>
        <w:t xml:space="preserve">Defined in </w:t>
      </w:r>
      <w:r>
        <w:rPr>
          <w:rFonts w:ascii="Courier New" w:hAnsi="Courier New"/>
          <w:color w:val="B03060"/>
          <w:sz w:val="19"/>
        </w:rPr>
        <w:t>agents/agent.ts</w:t>
      </w:r>
      <w:r>
        <w:t xml:space="preserve">. Each agent is an async generator emitting a discriminated </w:t>
      </w:r>
      <w:r>
        <w:rPr>
          <w:rFonts w:ascii="Courier New" w:hAnsi="Courier New"/>
          <w:color w:val="B03060"/>
          <w:sz w:val="19"/>
        </w:rPr>
        <w:t>AgentEvent</w:t>
      </w:r>
      <w:r>
        <w:t xml:space="preserve"> union:</w:t>
      </w:r>
    </w:p>
    <w:p>
      <w:pPr>
        <w:pStyle w:val="ListBullet"/>
      </w:pPr>
      <w:r>
        <w:rPr>
          <w:rFonts w:ascii="Courier New" w:hAnsi="Courier New"/>
          <w:color w:val="B03060"/>
          <w:sz w:val="19"/>
        </w:rPr>
        <w:t>{ type: 'token', agentId, text }</w:t>
      </w:r>
      <w:r>
        <w:t xml:space="preserve"> — streamed reasoning narration.</w:t>
      </w:r>
    </w:p>
    <w:p>
      <w:pPr>
        <w:pStyle w:val="ListBullet"/>
      </w:pPr>
      <w:r>
        <w:rPr>
          <w:rFonts w:ascii="Courier New" w:hAnsi="Courier New"/>
          <w:color w:val="B03060"/>
          <w:sz w:val="19"/>
        </w:rPr>
        <w:t>{ type: 'result', agentId, output }</w:t>
      </w:r>
      <w:r>
        <w:t xml:space="preserve"> — terminal structured output (narrowed per </w:t>
      </w:r>
      <w:r>
        <w:rPr>
          <w:rFonts w:ascii="Courier New" w:hAnsi="Courier New"/>
          <w:color w:val="B03060"/>
          <w:sz w:val="19"/>
        </w:rPr>
        <w:t>agentId</w:t>
      </w:r>
      <w:r>
        <w:t>).</w:t>
      </w:r>
    </w:p>
    <w:p>
      <w:r>
        <w:rPr>
          <w:rFonts w:ascii="Courier New" w:hAnsi="Courier New"/>
          <w:color w:val="B03060"/>
          <w:sz w:val="19"/>
        </w:rPr>
        <w:t>AgentId = 'risk' | 'careGap' | 'sdoh' | 'actionPlanner'</w:t>
      </w:r>
      <w:r>
        <w:t>.</w:t>
      </w:r>
    </w:p>
    <w:p>
      <w:pPr>
        <w:pStyle w:val="Heading3"/>
      </w:pPr>
      <w:r/>
      <w:r>
        <w:t>3.2 The four agents</w:t>
      </w:r>
    </w:p>
    <w:p>
      <w:pPr>
        <w:ind w:left="120"/>
      </w:pPr>
      <w:r>
        <w:rPr>
          <w:rFonts w:ascii="Courier New" w:hAnsi="Courier New"/>
          <w:sz w:val="18"/>
        </w:rPr>
        <w:t>CareSync Orchestrator</w:t>
        <w:br/>
        <w:t>├── Risk Agent      → Observation, Condition, MedicationRequest → risk score + level + flags + readmission probability</w:t>
        <w:br/>
        <w:t>├── Care Gap Agent  → CarePlan, Condition, Encounter           → gap list (type, urgency, due date)</w:t>
        <w:br/>
        <w:t>├── SDOH Agent      → QuestionnaireResponse (AHC-HRSN), Observation → SDOH barriers + referrals needed</w:t>
        <w:br/>
        <w:t>└── Action Planner  → all three agents' outputs                → FHIR Task resources</w:t>
      </w:r>
    </w:p>
    <w:p>
      <w:r>
        <w:t>Each agent:</w:t>
      </w:r>
    </w:p>
    <w:p>
      <w:pPr>
        <w:pStyle w:val="ListBullet"/>
      </w:pPr>
      <w:r>
        <w:t>Receives a structured FHIR context (not free text).</w:t>
      </w:r>
    </w:p>
    <w:p>
      <w:pPr>
        <w:pStyle w:val="ListBullet"/>
      </w:pPr>
      <w:r>
        <w:t>Returns structured JSON with findings + FHIR resource citations.</w:t>
      </w:r>
    </w:p>
    <w:p>
      <w:pPr>
        <w:pStyle w:val="ListBullet"/>
      </w:pPr>
      <w:r>
        <w:t>Cannot reference data absent from the retrieved bundle.</w:t>
      </w:r>
    </w:p>
    <w:p>
      <w:pPr>
        <w:pStyle w:val="Heading3"/>
      </w:pPr>
      <w:r/>
      <w:r>
        <w:t>3.3 Orchestration (</w:t>
      </w:r>
      <w:r>
        <w:rPr>
          <w:rFonts w:ascii="Courier New" w:hAnsi="Courier New"/>
          <w:color w:val="B03060"/>
          <w:sz w:val="19"/>
        </w:rPr>
        <w:t>agents/orchestrator.ts</w:t>
      </w:r>
      <w:r>
        <w:t>)</w:t>
      </w:r>
    </w:p>
    <w:p>
      <w:pPr>
        <w:pStyle w:val="ListBullet"/>
      </w:pPr>
      <w:r>
        <w:t xml:space="preserve">Runs Risk / Care Gap / SDOH </w:t>
      </w:r>
      <w:r>
        <w:rPr>
          <w:b/>
        </w:rPr>
        <w:t>concurrently</w:t>
      </w:r>
      <w:r>
        <w:t xml:space="preserve"> via a race-based merge (one in-flight </w:t>
      </w:r>
      <w:r>
        <w:rPr>
          <w:rFonts w:ascii="Courier New" w:hAnsi="Courier New"/>
          <w:color w:val="B03060"/>
          <w:sz w:val="19"/>
        </w:rPr>
        <w:t>.next()</w:t>
      </w:r>
      <w:r>
        <w:t xml:space="preserve"> per iterator), forwarding every event as it settles (true interleaving).</w:t>
      </w:r>
    </w:p>
    <w:p>
      <w:pPr>
        <w:pStyle w:val="ListBullet"/>
      </w:pPr>
      <w:r>
        <w:t xml:space="preserve">Collects each agent's terminal </w:t>
      </w:r>
      <w:r>
        <w:rPr>
          <w:rFonts w:ascii="Courier New" w:hAnsi="Courier New"/>
          <w:color w:val="B03060"/>
          <w:sz w:val="19"/>
        </w:rPr>
        <w:t>output</w:t>
      </w:r>
      <w:r>
        <w:t>.</w:t>
      </w:r>
    </w:p>
    <w:p>
      <w:pPr>
        <w:pStyle w:val="ListBullet"/>
      </w:pPr>
      <w:r>
        <w:t>Once all three are exhausted, runs the Action Planner on their combined outputs.</w:t>
      </w:r>
    </w:p>
    <w:p>
      <w:pPr>
        <w:pStyle w:val="ListBullet"/>
      </w:pPr>
      <w:r>
        <w:t>Agents are injectable (default = the real four) so tests can stub timing without hitting the LLM.</w:t>
      </w:r>
    </w:p>
    <w:p>
      <w:pPr>
        <w:pStyle w:val="Heading3"/>
      </w:pPr>
      <w:r/>
      <w:r>
        <w:t>3.4 Trust guarantees</w:t>
      </w:r>
    </w:p>
    <w:p>
      <w:pPr>
        <w:pStyle w:val="ListBullet"/>
      </w:pPr>
      <w:r>
        <w:rPr>
          <w:b/>
        </w:rPr>
        <w:t>Citation validation (GD11):</w:t>
      </w:r>
      <w:r>
        <w:t xml:space="preserve"> </w:t>
      </w:r>
      <w:r>
        <w:rPr>
          <w:rFonts w:ascii="Courier New" w:hAnsi="Courier New"/>
          <w:color w:val="B03060"/>
          <w:sz w:val="19"/>
        </w:rPr>
        <w:t>citationValidator.ts</w:t>
      </w:r>
      <w:r>
        <w:t xml:space="preserve"> validates every </w:t>
      </w:r>
      <w:r>
        <w:rPr>
          <w:rFonts w:ascii="Courier New" w:hAnsi="Courier New"/>
          <w:color w:val="B03060"/>
          <w:sz w:val="19"/>
        </w:rPr>
        <w:t>fhirResourceId</w:t>
      </w:r>
      <w:r>
        <w:t xml:space="preserve"> (and a Task's </w:t>
      </w:r>
      <w:r>
        <w:rPr>
          <w:rFonts w:ascii="Courier New" w:hAnsi="Courier New"/>
          <w:color w:val="B03060"/>
          <w:sz w:val="19"/>
        </w:rPr>
        <w:t>fhirResources</w:t>
      </w:r>
      <w:r>
        <w:t xml:space="preserve"> list) against the bundle's </w:t>
      </w:r>
      <w:r>
        <w:rPr>
          <w:rFonts w:ascii="Courier New" w:hAnsi="Courier New"/>
          <w:color w:val="B03060"/>
          <w:sz w:val="19"/>
        </w:rPr>
        <w:t>validIds</w:t>
      </w:r>
      <w:r>
        <w:t xml:space="preserve"> </w:t>
      </w:r>
      <w:r>
        <w:rPr>
          <w:b/>
        </w:rPr>
        <w:t>before</w:t>
      </w:r>
      <w:r>
        <w:t xml:space="preserve"> it is emitted or persisted. Dropped citations never reach the client or HAPI. Narration is gated by a per-agent </w:t>
      </w:r>
      <w:r>
        <w:rPr>
          <w:rFonts w:ascii="Courier New" w:hAnsi="Courier New"/>
          <w:color w:val="B03060"/>
          <w:sz w:val="19"/>
        </w:rPr>
        <w:t>NarrationBuffer</w:t>
      </w:r>
      <w:r>
        <w:t xml:space="preserve"> so an unvalidated citation can't leak mid-stream.</w:t>
      </w:r>
    </w:p>
    <w:p>
      <w:pPr>
        <w:pStyle w:val="ListBullet"/>
      </w:pPr>
      <w:r>
        <w:rPr>
          <w:b/>
        </w:rPr>
        <w:t>Confidence scoring (`confidenceScorer.ts`):</w:t>
      </w:r>
      <w:r>
        <w:t xml:space="preserve"> each surviving finding's </w:t>
      </w:r>
      <w:r>
        <w:rPr>
          <w:rFonts w:ascii="Courier New" w:hAnsi="Courier New"/>
          <w:color w:val="B03060"/>
          <w:sz w:val="19"/>
        </w:rPr>
        <w:t>confidence</w:t>
      </w:r>
      <w:r>
        <w:t xml:space="preserve"> (0–1) is a heuristic function of bundle evidence (citation count, abnormal labs, recent encounters, Condition→LOINC mapping, positive AHC-HRSN screening) — </w:t>
      </w:r>
      <w:r>
        <w:rPr>
          <w:b/>
        </w:rPr>
        <w:t>not</w:t>
      </w:r>
      <w:r>
        <w:t xml:space="preserve"> model self-report. Action Planner task confidence is derived (min of contributing findings, floored at 0.2).</w:t>
      </w:r>
    </w:p>
    <w:p/>
    <w:p>
      <w:pPr>
        <w:pStyle w:val="Heading2"/>
      </w:pPr>
      <w:r/>
      <w:r>
        <w:t>4. Data Model</w:t>
      </w:r>
    </w:p>
    <w:p>
      <w:pPr>
        <w:pStyle w:val="Heading3"/>
      </w:pPr>
      <w:r/>
      <w:r>
        <w:t>4.1 SQLite (app state only)</w:t>
      </w:r>
    </w:p>
    <w:p>
      <w:pPr>
        <w:ind w:left="120"/>
      </w:pPr>
      <w:r>
        <w:rPr>
          <w:rFonts w:ascii="Courier New" w:hAnsi="Courier New"/>
          <w:sz w:val="18"/>
        </w:rPr>
        <w:t>users(id, email UNIQUE, password_hash, name, role CHECK IN ('director','coordinator','social_worker'))</w:t>
        <w:br/>
        <w:t>audit_log(id, ts, actor, action, fhir_resource, outcome CHECK IN ('success','denied','error'))</w:t>
        <w:br/>
        <w:t>analysis_cache(patient_id PK, result_json, model_version, created_ts)</w:t>
      </w:r>
    </w:p>
    <w:p>
      <w:pPr>
        <w:pStyle w:val="Heading3"/>
      </w:pPr>
      <w:r/>
      <w:r>
        <w:t>4.2 FHIR (clinical system of record — HAPI)</w:t>
      </w:r>
    </w:p>
    <w:p>
      <w:r>
        <w:rPr>
          <w:rFonts w:ascii="Courier New" w:hAnsi="Courier New"/>
          <w:color w:val="B03060"/>
          <w:sz w:val="19"/>
        </w:rPr>
        <w:t>Patient</w:t>
      </w:r>
      <w:r>
        <w:t xml:space="preserve">, </w:t>
      </w:r>
      <w:r>
        <w:rPr>
          <w:rFonts w:ascii="Courier New" w:hAnsi="Courier New"/>
          <w:color w:val="B03060"/>
          <w:sz w:val="19"/>
        </w:rPr>
        <w:t>Condition</w:t>
      </w:r>
      <w:r>
        <w:t xml:space="preserve">, </w:t>
      </w:r>
      <w:r>
        <w:rPr>
          <w:rFonts w:ascii="Courier New" w:hAnsi="Courier New"/>
          <w:color w:val="B03060"/>
          <w:sz w:val="19"/>
        </w:rPr>
        <w:t>Observation</w:t>
      </w:r>
      <w:r>
        <w:t xml:space="preserve">, </w:t>
      </w:r>
      <w:r>
        <w:rPr>
          <w:rFonts w:ascii="Courier New" w:hAnsi="Courier New"/>
          <w:color w:val="B03060"/>
          <w:sz w:val="19"/>
        </w:rPr>
        <w:t>MedicationRequest</w:t>
      </w:r>
      <w:r>
        <w:t xml:space="preserve">, </w:t>
      </w:r>
      <w:r>
        <w:rPr>
          <w:rFonts w:ascii="Courier New" w:hAnsi="Courier New"/>
          <w:color w:val="B03060"/>
          <w:sz w:val="19"/>
        </w:rPr>
        <w:t>CarePlan</w:t>
      </w:r>
      <w:r>
        <w:t xml:space="preserve">, </w:t>
      </w:r>
      <w:r>
        <w:rPr>
          <w:rFonts w:ascii="Courier New" w:hAnsi="Courier New"/>
          <w:color w:val="B03060"/>
          <w:sz w:val="19"/>
        </w:rPr>
        <w:t>Encounter</w:t>
      </w:r>
      <w:r>
        <w:t xml:space="preserve">, </w:t>
      </w:r>
      <w:r>
        <w:rPr>
          <w:rFonts w:ascii="Courier New" w:hAnsi="Courier New"/>
          <w:color w:val="B03060"/>
          <w:sz w:val="19"/>
        </w:rPr>
        <w:t>QuestionnaireResponse</w:t>
      </w:r>
      <w:r>
        <w:t xml:space="preserve"> (AHC-HRSN), and </w:t>
      </w:r>
      <w:r>
        <w:rPr>
          <w:rFonts w:ascii="Courier New" w:hAnsi="Courier New"/>
          <w:color w:val="B03060"/>
          <w:sz w:val="19"/>
        </w:rPr>
        <w:t>Task</w:t>
      </w:r>
      <w:r>
        <w:t xml:space="preserve"> (CareSync-created work items, tagged via </w:t>
      </w:r>
      <w:r>
        <w:rPr>
          <w:rFonts w:ascii="Courier New" w:hAnsi="Courier New"/>
          <w:color w:val="B03060"/>
          <w:sz w:val="19"/>
        </w:rPr>
        <w:t>Task.meta.tag</w:t>
      </w:r>
      <w:r>
        <w:t xml:space="preserve"> for </w:t>
      </w:r>
      <w:r>
        <w:rPr>
          <w:rFonts w:ascii="Courier New" w:hAnsi="Courier New"/>
          <w:color w:val="B03060"/>
          <w:sz w:val="19"/>
        </w:rPr>
        <w:t>clinical</w:t>
      </w:r>
      <w:r>
        <w:t xml:space="preserve"> vs </w:t>
      </w:r>
      <w:r>
        <w:rPr>
          <w:rFonts w:ascii="Courier New" w:hAnsi="Courier New"/>
          <w:color w:val="B03060"/>
          <w:sz w:val="19"/>
        </w:rPr>
        <w:t>sdoh</w:t>
      </w:r>
      <w:r>
        <w:t xml:space="preserve"> domain).</w:t>
      </w:r>
    </w:p>
    <w:p>
      <w:pPr>
        <w:pStyle w:val="Heading3"/>
      </w:pPr>
      <w:r/>
      <w:r>
        <w:t>4.3 Analysis cache &amp; replay</w:t>
      </w:r>
    </w:p>
    <w:p>
      <w:r>
        <w:rPr>
          <w:rFonts w:ascii="Courier New" w:hAnsi="Courier New"/>
          <w:color w:val="B03060"/>
          <w:sz w:val="19"/>
        </w:rPr>
        <w:t>AnalysisResultJson</w:t>
      </w:r>
      <w:r>
        <w:t xml:space="preserve"> captures exactly what streamed (safe narration + surviving findings + created Task payloads + </w:t>
      </w:r>
      <w:r>
        <w:rPr>
          <w:rFonts w:ascii="Courier New" w:hAnsi="Courier New"/>
          <w:color w:val="B03060"/>
          <w:sz w:val="19"/>
        </w:rPr>
        <w:t>complete</w:t>
      </w:r>
      <w:r>
        <w:t xml:space="preserve"> payloads per agent). Modes on </w:t>
      </w:r>
      <w:r>
        <w:rPr>
          <w:rFonts w:ascii="Courier New" w:hAnsi="Courier New"/>
          <w:color w:val="B03060"/>
          <w:sz w:val="19"/>
        </w:rPr>
        <w:t>POST /api/patients/:id/analysis</w:t>
      </w:r>
      <w:r>
        <w:t>:</w:t>
      </w:r>
    </w:p>
    <w:p>
      <w:pPr>
        <w:pStyle w:val="ListBullet"/>
      </w:pPr>
      <w:r>
        <w:rPr>
          <w:rFonts w:ascii="Courier New" w:hAnsi="Courier New"/>
          <w:color w:val="B03060"/>
          <w:sz w:val="19"/>
        </w:rPr>
        <w:t>?live=1</w:t>
      </w:r>
      <w:r>
        <w:t xml:space="preserve"> → always run orchestrator, stream live, persist to cache.</w:t>
      </w:r>
    </w:p>
    <w:p>
      <w:pPr>
        <w:pStyle w:val="ListBullet"/>
      </w:pPr>
      <w:r>
        <w:t xml:space="preserve">no flag, cache hit → </w:t>
      </w:r>
      <w:r>
        <w:rPr>
          <w:b/>
        </w:rPr>
        <w:t>replay</w:t>
      </w:r>
      <w:r>
        <w:t xml:space="preserve"> the cached row as the identical SSE sequence (no HAPI/LLM call).</w:t>
      </w:r>
    </w:p>
    <w:p>
      <w:pPr>
        <w:pStyle w:val="ListBullet"/>
      </w:pPr>
      <w:r>
        <w:t>no flag, cold cache → run live, then cache (first view is always live).</w:t>
      </w:r>
    </w:p>
    <w:p/>
    <w:p>
      <w:pPr>
        <w:pStyle w:val="Heading2"/>
      </w:pPr>
      <w:r/>
      <w:r>
        <w:t>5. API Surface (selected)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/api/auth/login</w:t>
            </w:r>
          </w:p>
        </w:tc>
        <w:tc>
          <w:tcPr>
            <w:tcW w:type="dxa" w:w="2160"/>
          </w:tcPr>
          <w:p>
            <w:r>
              <w:t>Session token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/api/patients/assigned</w:t>
            </w:r>
          </w:p>
        </w:tc>
        <w:tc>
          <w:tcPr>
            <w:tcW w:type="dxa" w:w="2160"/>
          </w:tcPr>
          <w:p>
            <w:r>
              <w:t>Coordinator's panel</w:t>
            </w:r>
          </w:p>
        </w:tc>
        <w:tc>
          <w:tcPr>
            <w:tcW w:type="dxa" w:w="2160"/>
          </w:tcPr>
          <w:p>
            <w:r>
              <w:t>session + SMART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/api/patients/:id</w:t>
            </w:r>
          </w:p>
        </w:tc>
        <w:tc>
          <w:tcPr>
            <w:tcW w:type="dxa" w:w="2160"/>
          </w:tcPr>
          <w:p>
            <w:r>
              <w:t>Patient detail (patient/conditions/tasks)</w:t>
            </w:r>
          </w:p>
        </w:tc>
        <w:tc>
          <w:tcPr>
            <w:tcW w:type="dxa" w:w="2160"/>
          </w:tcPr>
          <w:p>
            <w:r>
              <w:t>session + SMART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/api/patients/:id/analysis</w:t>
            </w:r>
          </w:p>
        </w:tc>
        <w:tc>
          <w:tcPr>
            <w:tcW w:type="dxa" w:w="2160"/>
          </w:tcPr>
          <w:p>
            <w:r>
              <w:t>SSE agent stream (live/replay/mock)</w:t>
            </w:r>
          </w:p>
        </w:tc>
        <w:tc>
          <w:tcPr>
            <w:tcW w:type="dxa" w:w="2160"/>
          </w:tcPr>
          <w:p>
            <w:r>
              <w:t>session + SMART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/api/population/scatter</w:t>
            </w:r>
            <w:r>
              <w:t xml:space="preserve">, </w:t>
            </w:r>
            <w:r>
              <w:rPr>
                <w:rFonts w:ascii="Courier New" w:hAnsi="Courier New"/>
                <w:color w:val="B03060"/>
                <w:sz w:val="19"/>
              </w:rPr>
              <w:t>/summary</w:t>
            </w:r>
          </w:p>
        </w:tc>
        <w:tc>
          <w:tcPr>
            <w:tcW w:type="dxa" w:w="2160"/>
          </w:tcPr>
          <w:p>
            <w:r>
              <w:t>Director population view</w:t>
            </w:r>
          </w:p>
        </w:tc>
        <w:tc>
          <w:tcPr>
            <w:tcW w:type="dxa" w:w="2160"/>
          </w:tcPr>
          <w:p>
            <w:r>
              <w:t>director + SMART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/api/governance/audit</w:t>
            </w:r>
            <w:r>
              <w:t xml:space="preserve">, </w:t>
            </w:r>
            <w:r>
              <w:rPr>
                <w:rFonts w:ascii="Courier New" w:hAnsi="Courier New"/>
                <w:color w:val="B03060"/>
                <w:sz w:val="19"/>
              </w:rPr>
              <w:t>/model</w:t>
            </w:r>
            <w:r>
              <w:t>, parity</w:t>
            </w:r>
          </w:p>
        </w:tc>
        <w:tc>
          <w:tcPr>
            <w:tcW w:type="dxa" w:w="2160"/>
          </w:tcPr>
          <w:p>
            <w:r>
              <w:t>Audit + model performance</w:t>
            </w:r>
          </w:p>
        </w:tc>
        <w:tc>
          <w:tcPr>
            <w:tcW w:type="dxa" w:w="2160"/>
          </w:tcPr>
          <w:p>
            <w:r>
              <w:t>director + SMART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/api/quality</w:t>
            </w:r>
            <w:r>
              <w:t xml:space="preserve">, </w:t>
            </w:r>
            <w:r>
              <w:rPr>
                <w:rFonts w:ascii="Courier New" w:hAnsi="Courier New"/>
                <w:color w:val="B03060"/>
                <w:sz w:val="19"/>
              </w:rPr>
              <w:t>/api/team</w:t>
            </w:r>
          </w:p>
        </w:tc>
        <w:tc>
          <w:tcPr>
            <w:tcW w:type="dxa" w:w="2160"/>
          </w:tcPr>
          <w:p>
            <w:r>
              <w:t>HEDIS + team performance</w:t>
            </w:r>
          </w:p>
        </w:tc>
        <w:tc>
          <w:tcPr>
            <w:tcW w:type="dxa" w:w="2160"/>
          </w:tcPr>
          <w:p>
            <w:r>
              <w:t>director + SMART</w:t>
            </w:r>
          </w:p>
        </w:tc>
      </w:tr>
      <w:tr>
        <w:tc>
          <w:tcPr>
            <w:tcW w:type="dxa" w:w="2160"/>
          </w:tcPr>
          <w:p>
            <w:r>
              <w:t>GET/PATCH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/api/tasks</w:t>
            </w:r>
            <w:r>
              <w:t xml:space="preserve">, </w:t>
            </w:r>
            <w:r>
              <w:rPr>
                <w:rFonts w:ascii="Courier New" w:hAnsi="Courier New"/>
                <w:color w:val="B03060"/>
                <w:sz w:val="19"/>
              </w:rPr>
              <w:t>/api/tasks/:id</w:t>
            </w:r>
            <w:r>
              <w:t xml:space="preserve">, </w:t>
            </w:r>
            <w:r>
              <w:rPr>
                <w:rFonts w:ascii="Courier New" w:hAnsi="Courier New"/>
                <w:color w:val="B03060"/>
                <w:sz w:val="19"/>
              </w:rPr>
              <w:t>/api/tasks/:id/status</w:t>
            </w:r>
          </w:p>
        </w:tc>
        <w:tc>
          <w:tcPr>
            <w:tcW w:type="dxa" w:w="2160"/>
          </w:tcPr>
          <w:p>
            <w:r>
              <w:t>Task queue + transitions</w:t>
            </w:r>
          </w:p>
        </w:tc>
        <w:tc>
          <w:tcPr>
            <w:tcW w:type="dxa" w:w="2160"/>
          </w:tcPr>
          <w:p>
            <w:r>
              <w:t>session + SMART</w:t>
            </w:r>
          </w:p>
        </w:tc>
      </w:tr>
      <w:tr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/api/sdoh</w:t>
            </w:r>
          </w:p>
        </w:tc>
        <w:tc>
          <w:tcPr>
            <w:tcW w:type="dxa" w:w="2160"/>
          </w:tcPr>
          <w:p>
            <w:r>
              <w:t>SDOH directory + audited referral</w:t>
            </w:r>
          </w:p>
        </w:tc>
        <w:tc>
          <w:tcPr>
            <w:tcW w:type="dxa" w:w="2160"/>
          </w:tcPr>
          <w:p>
            <w:r>
              <w:t>session + SMART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/api/care-plans/:patientId</w:t>
            </w:r>
          </w:p>
        </w:tc>
        <w:tc>
          <w:tcPr>
            <w:tcW w:type="dxa" w:w="2160"/>
          </w:tcPr>
          <w:p>
            <w:r>
              <w:t>Care Plan Builder</w:t>
            </w:r>
          </w:p>
        </w:tc>
        <w:tc>
          <w:tcPr>
            <w:tcW w:type="dxa" w:w="2160"/>
          </w:tcPr>
          <w:p>
            <w:r>
              <w:t>coordinator + SMART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/api/events</w:t>
            </w:r>
          </w:p>
        </w:tc>
        <w:tc>
          <w:tcPr>
            <w:tcW w:type="dxa" w:w="2160"/>
          </w:tcPr>
          <w:p>
            <w:r>
              <w:t>Client SSE relay (cross-surface sync)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/api/fhir/subscription-hook</w:t>
            </w:r>
          </w:p>
        </w:tc>
        <w:tc>
          <w:tcPr>
            <w:tcW w:type="dxa" w:w="2160"/>
          </w:tcPr>
          <w:p>
            <w:r>
              <w:t>HAPI rest-hook callback</w:t>
            </w:r>
          </w:p>
        </w:tc>
        <w:tc>
          <w:tcPr>
            <w:tcW w:type="dxa" w:w="2160"/>
          </w:tcPr>
          <w:p>
            <w:r>
              <w:t>server-to-server</w:t>
            </w:r>
          </w:p>
        </w:tc>
      </w:tr>
      <w:tr>
        <w:tc>
          <w:tcPr>
            <w:tcW w:type="dxa" w:w="2160"/>
          </w:tcPr>
          <w:p>
            <w:r>
              <w:t>GET/POST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/cds-services</w:t>
            </w:r>
          </w:p>
        </w:tc>
        <w:tc>
          <w:tcPr>
            <w:tcW w:type="dxa" w:w="2160"/>
          </w:tcPr>
          <w:p>
            <w:r>
              <w:t xml:space="preserve">CDS Hooks discovery + </w:t>
            </w:r>
            <w:r>
              <w:rPr>
                <w:rFonts w:ascii="Courier New" w:hAnsi="Courier New"/>
                <w:color w:val="B03060"/>
                <w:sz w:val="19"/>
              </w:rPr>
              <w:t>patient-view</w:t>
            </w:r>
          </w:p>
        </w:tc>
        <w:tc>
          <w:tcPr>
            <w:tcW w:type="dxa" w:w="2160"/>
          </w:tcPr>
          <w:p>
            <w:r>
              <w:t>auth-less (per spec)</w:t>
            </w:r>
          </w:p>
        </w:tc>
      </w:tr>
    </w:tbl>
    <w:p>
      <w:r>
        <w:rPr>
          <w:b/>
        </w:rPr>
        <w:t>SSE event vocabulary:</w:t>
      </w:r>
      <w:r>
        <w:t xml:space="preserve"> </w:t>
      </w:r>
      <w:r>
        <w:rPr>
          <w:rFonts w:ascii="Courier New" w:hAnsi="Courier New"/>
          <w:color w:val="B03060"/>
          <w:sz w:val="19"/>
        </w:rPr>
        <w:t>token</w:t>
      </w:r>
      <w:r>
        <w:t xml:space="preserve">, </w:t>
      </w:r>
      <w:r>
        <w:rPr>
          <w:rFonts w:ascii="Courier New" w:hAnsi="Courier New"/>
          <w:color w:val="B03060"/>
          <w:sz w:val="19"/>
        </w:rPr>
        <w:t>finding</w:t>
      </w:r>
      <w:r>
        <w:t xml:space="preserve">, </w:t>
      </w:r>
      <w:r>
        <w:rPr>
          <w:rFonts w:ascii="Courier New" w:hAnsi="Courier New"/>
          <w:color w:val="B03060"/>
          <w:sz w:val="19"/>
        </w:rPr>
        <w:t>task</w:t>
      </w:r>
      <w:r>
        <w:t xml:space="preserve">, </w:t>
      </w:r>
      <w:r>
        <w:rPr>
          <w:rFonts w:ascii="Courier New" w:hAnsi="Courier New"/>
          <w:color w:val="B03060"/>
          <w:sz w:val="19"/>
        </w:rPr>
        <w:t>complete</w:t>
      </w:r>
      <w:r>
        <w:t xml:space="preserve">, </w:t>
      </w:r>
      <w:r>
        <w:rPr>
          <w:rFonts w:ascii="Courier New" w:hAnsi="Courier New"/>
          <w:color w:val="B03060"/>
          <w:sz w:val="19"/>
        </w:rPr>
        <w:t>done</w:t>
      </w:r>
      <w:r>
        <w:t xml:space="preserve">, </w:t>
      </w:r>
      <w:r>
        <w:rPr>
          <w:rFonts w:ascii="Courier New" w:hAnsi="Courier New"/>
          <w:color w:val="B03060"/>
          <w:sz w:val="19"/>
        </w:rPr>
        <w:t>error</w:t>
      </w:r>
      <w:r>
        <w:t>.</w:t>
      </w:r>
    </w:p>
    <w:p/>
    <w:p>
      <w:pPr>
        <w:pStyle w:val="Heading2"/>
      </w:pPr>
      <w:r/>
      <w:r>
        <w:t>6. Security &amp; Access Control</w:t>
      </w:r>
    </w:p>
    <w:p>
      <w:pPr>
        <w:pStyle w:val="ListBullet"/>
      </w:pPr>
      <w:r>
        <w:rPr>
          <w:b/>
        </w:rPr>
        <w:t>Two-tier auth on every HAPI-touching route:</w:t>
      </w:r>
      <w:r>
        <w:t xml:space="preserve"> </w:t>
      </w:r>
      <w:r>
        <w:rPr>
          <w:rFonts w:ascii="Courier New" w:hAnsi="Courier New"/>
          <w:color w:val="B03060"/>
          <w:sz w:val="19"/>
        </w:rPr>
        <w:t>requireAuth</w:t>
      </w:r>
      <w:r>
        <w:t xml:space="preserve"> (CareSync session/JWT) </w:t>
      </w:r>
      <w:r>
        <w:rPr>
          <w:b/>
        </w:rPr>
        <w:t>and</w:t>
      </w:r>
      <w:r>
        <w:t xml:space="preserve"> </w:t>
      </w:r>
      <w:r>
        <w:rPr>
          <w:rFonts w:ascii="Courier New" w:hAnsi="Courier New"/>
          <w:color w:val="B03060"/>
          <w:sz w:val="19"/>
        </w:rPr>
        <w:t>smartAuth</w:t>
      </w:r>
      <w:r>
        <w:t xml:space="preserve"> (SMART access-token scope check per HTTP method — </w:t>
      </w:r>
      <w:r>
        <w:rPr>
          <w:rFonts w:ascii="Courier New" w:hAnsi="Courier New"/>
          <w:color w:val="B03060"/>
          <w:sz w:val="19"/>
        </w:rPr>
        <w:t>*.read</w:t>
      </w:r>
      <w:r>
        <w:t xml:space="preserve"> for GET, </w:t>
      </w:r>
      <w:r>
        <w:rPr>
          <w:rFonts w:ascii="Courier New" w:hAnsi="Courier New"/>
          <w:color w:val="B03060"/>
          <w:sz w:val="19"/>
        </w:rPr>
        <w:t>*.write</w:t>
      </w:r>
      <w:r>
        <w:t xml:space="preserve"> for mutations). Either failing → 401/403.</w:t>
      </w:r>
    </w:p>
    <w:p>
      <w:pPr>
        <w:pStyle w:val="ListBullet"/>
      </w:pPr>
      <w:r>
        <w:rPr>
          <w:b/>
        </w:rPr>
        <w:t>Role-based routing:</w:t>
      </w:r>
      <w:r>
        <w:t xml:space="preserve"> </w:t>
      </w:r>
      <w:r>
        <w:rPr>
          <w:rFonts w:ascii="Courier New" w:hAnsi="Courier New"/>
          <w:color w:val="B03060"/>
          <w:sz w:val="19"/>
        </w:rPr>
        <w:t>RoleGuard</w:t>
      </w:r>
      <w:r>
        <w:t xml:space="preserve"> (web) + scope assertions (API). Roles: </w:t>
      </w:r>
      <w:r>
        <w:rPr>
          <w:rFonts w:ascii="Courier New" w:hAnsi="Courier New"/>
          <w:color w:val="B03060"/>
          <w:sz w:val="19"/>
        </w:rPr>
        <w:t>director</w:t>
      </w:r>
      <w:r>
        <w:t xml:space="preserve">, </w:t>
      </w:r>
      <w:r>
        <w:rPr>
          <w:rFonts w:ascii="Courier New" w:hAnsi="Courier New"/>
          <w:color w:val="B03060"/>
          <w:sz w:val="19"/>
        </w:rPr>
        <w:t>coordinator</w:t>
      </w:r>
      <w:r>
        <w:t xml:space="preserve">, </w:t>
      </w:r>
      <w:r>
        <w:rPr>
          <w:rFonts w:ascii="Courier New" w:hAnsi="Courier New"/>
          <w:color w:val="B03060"/>
          <w:sz w:val="19"/>
        </w:rPr>
        <w:t>social_worker</w:t>
      </w:r>
      <w:r>
        <w:t>. Directors get population/governance/quality/team; coordinators get panel/tasks/care-plans.</w:t>
      </w:r>
    </w:p>
    <w:p>
      <w:pPr>
        <w:pStyle w:val="ListBullet"/>
      </w:pPr>
      <w:r>
        <w:rPr>
          <w:b/>
        </w:rPr>
        <w:t>Scope enforcement even on replay:</w:t>
      </w:r>
      <w:r>
        <w:t xml:space="preserve"> </w:t>
      </w:r>
      <w:r>
        <w:rPr>
          <w:rFonts w:ascii="Courier New" w:hAnsi="Courier New"/>
          <w:color w:val="B03060"/>
          <w:sz w:val="19"/>
        </w:rPr>
        <w:t>assertScope</w:t>
      </w:r>
      <w:r>
        <w:t xml:space="preserve"> runs on the cache-replay path (no HAPI round-trip) so the role→scope invariant can't drift between live and replay.</w:t>
      </w:r>
    </w:p>
    <w:p>
      <w:pPr>
        <w:pStyle w:val="ListBullet"/>
      </w:pPr>
      <w:r>
        <w:rPr>
          <w:b/>
        </w:rPr>
        <w:t>Audit:</w:t>
      </w:r>
      <w:r>
        <w:t xml:space="preserve"> every FHIR read/write writes an </w:t>
      </w:r>
      <w:r>
        <w:rPr>
          <w:rFonts w:ascii="Courier New" w:hAnsi="Courier New"/>
          <w:color w:val="B03060"/>
          <w:sz w:val="19"/>
        </w:rPr>
        <w:t>audit_log</w:t>
      </w:r>
      <w:r>
        <w:t xml:space="preserve"> row (</w:t>
      </w:r>
      <w:r>
        <w:rPr>
          <w:rFonts w:ascii="Courier New" w:hAnsi="Courier New"/>
          <w:color w:val="B03060"/>
          <w:sz w:val="19"/>
        </w:rPr>
        <w:t>actor</w:t>
      </w:r>
      <w:r>
        <w:t xml:space="preserve">, </w:t>
      </w:r>
      <w:r>
        <w:rPr>
          <w:rFonts w:ascii="Courier New" w:hAnsi="Courier New"/>
          <w:color w:val="B03060"/>
          <w:sz w:val="19"/>
        </w:rPr>
        <w:t>action</w:t>
      </w:r>
      <w:r>
        <w:t xml:space="preserve">, </w:t>
      </w:r>
      <w:r>
        <w:rPr>
          <w:rFonts w:ascii="Courier New" w:hAnsi="Courier New"/>
          <w:color w:val="B03060"/>
          <w:sz w:val="19"/>
        </w:rPr>
        <w:t>fhir_resource</w:t>
      </w:r>
      <w:r>
        <w:t xml:space="preserve">, </w:t>
      </w:r>
      <w:r>
        <w:rPr>
          <w:rFonts w:ascii="Courier New" w:hAnsi="Courier New"/>
          <w:color w:val="B03060"/>
          <w:sz w:val="19"/>
        </w:rPr>
        <w:t>outcome</w:t>
      </w:r>
      <w:r>
        <w:t>); denials audited by the scope guard, successes by the route.</w:t>
      </w:r>
    </w:p>
    <w:p/>
    <w:p>
      <w:pPr>
        <w:pStyle w:val="Heading2"/>
      </w:pPr>
      <w:r/>
      <w:r>
        <w:t>7. Frontend Screens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/login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JWT issue</w:t>
            </w:r>
          </w:p>
        </w:tc>
      </w:tr>
      <w:tr>
        <w:tc>
          <w:tcPr>
            <w:tcW w:type="dxa" w:w="2160"/>
          </w:tcPr>
          <w:p>
            <w:r>
              <w:t>My Patients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/coordinator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assigned panel</w:t>
            </w:r>
          </w:p>
        </w:tc>
      </w:tr>
      <w:tr>
        <w:tc>
          <w:tcPr>
            <w:tcW w:type="dxa" w:w="2160"/>
          </w:tcPr>
          <w:p>
            <w:r>
              <w:t>Patient Panel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/panel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grid of patients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Patient Detail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/patients/:id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3 view modes: Panel, Cinema, Orchestrator — live SSE agent feeds, findings, action-plan cards</w:t>
            </w:r>
          </w:p>
        </w:tc>
      </w:tr>
      <w:tr>
        <w:tc>
          <w:tcPr>
            <w:tcW w:type="dxa" w:w="2160"/>
          </w:tcPr>
          <w:p>
            <w:r>
              <w:t>Patient Profile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/patients/:id/profile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demographics + conditions</w:t>
            </w:r>
          </w:p>
        </w:tc>
      </w:tr>
      <w:tr>
        <w:tc>
          <w:tcPr>
            <w:tcW w:type="dxa" w:w="2160"/>
          </w:tcPr>
          <w:p>
            <w:r>
              <w:t>SDOH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/patients/:id/sdoh</w:t>
            </w:r>
            <w:r>
              <w:t xml:space="preserve">, </w:t>
            </w:r>
            <w:r>
              <w:rPr>
                <w:rFonts w:ascii="Courier New" w:hAnsi="Courier New"/>
                <w:color w:val="B03060"/>
                <w:sz w:val="19"/>
              </w:rPr>
              <w:t>/sdoh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AHC-HRSN, referrals</w:t>
            </w:r>
          </w:p>
        </w:tc>
      </w:tr>
      <w:tr>
        <w:tc>
          <w:tcPr>
            <w:tcW w:type="dxa" w:w="2160"/>
          </w:tcPr>
          <w:p>
            <w:r>
              <w:t>Task Queue / Detail / Center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/tasks</w:t>
            </w:r>
            <w:r>
              <w:t xml:space="preserve">, </w:t>
            </w:r>
            <w:r>
              <w:rPr>
                <w:rFonts w:ascii="Courier New" w:hAnsi="Courier New"/>
                <w:color w:val="B03060"/>
                <w:sz w:val="19"/>
              </w:rPr>
              <w:t>/tasks/:id</w:t>
            </w:r>
            <w:r>
              <w:t xml:space="preserve">, </w:t>
            </w:r>
            <w:r>
              <w:rPr>
                <w:rFonts w:ascii="Courier New" w:hAnsi="Courier New"/>
                <w:color w:val="B03060"/>
                <w:sz w:val="19"/>
              </w:rPr>
              <w:t>/task-center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complete/defer/escalate transitions</w:t>
            </w:r>
          </w:p>
        </w:tc>
      </w:tr>
      <w:tr>
        <w:tc>
          <w:tcPr>
            <w:tcW w:type="dxa" w:w="2160"/>
          </w:tcPr>
          <w:p>
            <w:r>
              <w:t>Care Plan Builder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/care-plans/:patientId</w:t>
            </w:r>
          </w:p>
        </w:tc>
        <w:tc>
          <w:tcPr>
            <w:tcW w:type="dxa" w:w="2160"/>
          </w:tcPr>
          <w:p>
            <w:r>
              <w:t>coordinator</w:t>
            </w:r>
          </w:p>
        </w:tc>
        <w:tc>
          <w:tcPr>
            <w:tcW w:type="dxa" w:w="2160"/>
          </w:tcPr>
          <w:p>
            <w:r>
              <w:t>POST care plan</w:t>
            </w:r>
          </w:p>
        </w:tc>
      </w:tr>
      <w:tr>
        <w:tc>
          <w:tcPr>
            <w:tcW w:type="dxa" w:w="2160"/>
          </w:tcPr>
          <w:p>
            <w:r>
              <w:t>Population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/population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risk×urgency scatter, critical-zone KPIs</w:t>
            </w:r>
          </w:p>
        </w:tc>
      </w:tr>
      <w:tr>
        <w:tc>
          <w:tcPr>
            <w:tcW w:type="dxa" w:w="2160"/>
          </w:tcPr>
          <w:p>
            <w:r>
              <w:t>Governance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/governance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audit trail, model performance, demographic parity</w:t>
            </w:r>
          </w:p>
        </w:tc>
      </w:tr>
      <w:tr>
        <w:tc>
          <w:tcPr>
            <w:tcW w:type="dxa" w:w="2160"/>
          </w:tcPr>
          <w:p>
            <w:r>
              <w:t>Quality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/quality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HEDIS measure completion</w:t>
            </w:r>
          </w:p>
        </w:tc>
      </w:tr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/team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team performance</w:t>
            </w:r>
          </w:p>
        </w:tc>
      </w:tr>
      <w:tr>
        <w:tc>
          <w:tcPr>
            <w:tcW w:type="dxa" w:w="2160"/>
          </w:tcPr>
          <w:p>
            <w:r>
              <w:t>Cost / ROI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/cost-roi</w:t>
            </w:r>
          </w:p>
        </w:tc>
        <w:tc>
          <w:tcPr>
            <w:tcW w:type="dxa" w:w="2160"/>
          </w:tcPr>
          <w:p>
            <w:r>
              <w:t>director</w:t>
            </w:r>
          </w:p>
        </w:tc>
        <w:tc>
          <w:tcPr>
            <w:tcW w:type="dxa" w:w="2160"/>
          </w:tcPr>
          <w:p>
            <w:r>
              <w:t>projected cost avoidance</w:t>
            </w:r>
          </w:p>
        </w:tc>
      </w:tr>
      <w:tr>
        <w:tc>
          <w:tcPr>
            <w:tcW w:type="dxa" w:w="2160"/>
          </w:tcPr>
          <w:p>
            <w:r>
              <w:t>Alerts / Settings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color w:val="B03060"/>
                <w:sz w:val="19"/>
              </w:rPr>
              <w:t>/alerts</w:t>
            </w:r>
            <w:r>
              <w:t xml:space="preserve">, </w:t>
            </w:r>
            <w:r>
              <w:rPr>
                <w:rFonts w:ascii="Courier New" w:hAnsi="Courier New"/>
                <w:color w:val="B03060"/>
                <w:sz w:val="19"/>
              </w:rPr>
              <w:t>/settings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clinical alerts, prefs</w:t>
            </w:r>
          </w:p>
        </w:tc>
      </w:tr>
    </w:tbl>
    <w:p>
      <w:pPr>
        <w:pStyle w:val="Heading3"/>
      </w:pPr>
      <w:r/>
      <w:r>
        <w:t>7.1 Patient Detail (flagship)</w:t>
      </w:r>
    </w:p>
    <w:p>
      <w:pPr>
        <w:pStyle w:val="ListBullet"/>
      </w:pPr>
      <w:r>
        <w:rPr>
          <w:b/>
        </w:rPr>
        <w:t>Panel view:</w:t>
      </w:r>
      <w:r>
        <w:t xml:space="preserve"> 3-column layout with per-agent cards (status pill + streamed reasoning + findings with severity dot, FHIR citation, confidence).</w:t>
      </w:r>
    </w:p>
    <w:p>
      <w:pPr>
        <w:pStyle w:val="ListBullet"/>
      </w:pPr>
      <w:r>
        <w:rPr>
          <w:b/>
        </w:rPr>
        <w:t>Cinema view:</w:t>
      </w:r>
      <w:r>
        <w:t xml:space="preserve"> left-rail patient card + 4 agent panels + action-plan grid.</w:t>
      </w:r>
    </w:p>
    <w:p>
      <w:pPr>
        <w:pStyle w:val="ListBullet"/>
      </w:pPr>
      <w:r>
        <w:rPr>
          <w:b/>
        </w:rPr>
        <w:t>Orchestrator view:</w:t>
      </w:r>
      <w:r>
        <w:t xml:space="preserve"> animated agent graph canvas + per-agent finding streams.</w:t>
      </w:r>
    </w:p>
    <w:p>
      <w:pPr>
        <w:pStyle w:val="ListBullet"/>
      </w:pPr>
      <w:r>
        <w:rPr>
          <w:b/>
        </w:rPr>
        <w:t>Real-data layer:</w:t>
      </w:r>
      <w:r>
        <w:t xml:space="preserve"> </w:t>
      </w:r>
      <w:r>
        <w:rPr>
          <w:rFonts w:ascii="Courier New" w:hAnsi="Courier New"/>
          <w:color w:val="B03060"/>
          <w:sz w:val="19"/>
        </w:rPr>
        <w:t>useQuery(['patient', id])</w:t>
      </w:r>
      <w:r>
        <w:t xml:space="preserve"> + per-</w:t>
      </w:r>
      <w:r>
        <w:rPr>
          <w:rFonts w:ascii="Courier New" w:hAnsi="Courier New"/>
          <w:color w:val="B03060"/>
          <w:sz w:val="19"/>
        </w:rPr>
        <w:t>AgentId</w:t>
      </w:r>
      <w:r>
        <w:t xml:space="preserve"> feed state updated by each SSE event (no cross-agent bleed); the live stream is the single source of truth (mock only as safety net for known fixture patients).</w:t>
      </w:r>
    </w:p>
    <w:p>
      <w:pPr>
        <w:pStyle w:val="ListBullet"/>
      </w:pPr>
      <w:r>
        <w:t xml:space="preserve">Task-status changes for the current patient invalidate the query so a coordinator's change live-refreshes other views (cross-surface sync via </w:t>
      </w:r>
      <w:r>
        <w:rPr>
          <w:rFonts w:ascii="Courier New" w:hAnsi="Courier New"/>
          <w:color w:val="B03060"/>
          <w:sz w:val="19"/>
        </w:rPr>
        <w:t>/api/events</w:t>
      </w:r>
      <w:r>
        <w:t>).</w:t>
      </w:r>
    </w:p>
    <w:p/>
    <w:p>
      <w:pPr>
        <w:pStyle w:val="Heading2"/>
      </w:pPr>
      <w:r/>
      <w:r>
        <w:t>8. Real-Time Sync</w:t>
      </w:r>
    </w:p>
    <w:p>
      <w:pPr>
        <w:pStyle w:val="ListBullet"/>
      </w:pPr>
      <w:r>
        <w:t xml:space="preserve">HAPI rest-hook </w:t>
      </w:r>
      <w:r>
        <w:rPr>
          <w:rFonts w:ascii="Courier New" w:hAnsi="Courier New"/>
          <w:color w:val="B03060"/>
          <w:sz w:val="19"/>
        </w:rPr>
        <w:t>Subscription</w:t>
      </w:r>
      <w:r>
        <w:t xml:space="preserve"> (registered idempotently at boot, non-fatal on failure) POSTs Task changes to </w:t>
      </w:r>
      <w:r>
        <w:rPr>
          <w:rFonts w:ascii="Courier New" w:hAnsi="Courier New"/>
          <w:color w:val="B03060"/>
          <w:sz w:val="19"/>
        </w:rPr>
        <w:t>/api/fhir/subscription-hook</w:t>
      </w:r>
      <w:r>
        <w:t>.</w:t>
      </w:r>
    </w:p>
    <w:p>
      <w:pPr>
        <w:pStyle w:val="ListBullet"/>
      </w:pPr>
      <w:r>
        <w:t xml:space="preserve">A shared in-process </w:t>
      </w:r>
      <w:r>
        <w:rPr>
          <w:b/>
        </w:rPr>
        <w:t>event hub</w:t>
      </w:r>
      <w:r>
        <w:t xml:space="preserve"> fans those into the client SSE relay at </w:t>
      </w:r>
      <w:r>
        <w:rPr>
          <w:rFonts w:ascii="Courier New" w:hAnsi="Courier New"/>
          <w:color w:val="B03060"/>
          <w:sz w:val="19"/>
        </w:rPr>
        <w:t>/api/events</w:t>
      </w:r>
      <w:r>
        <w:t>.</w:t>
      </w:r>
    </w:p>
    <w:p>
      <w:pPr>
        <w:pStyle w:val="ListBullet"/>
      </w:pPr>
      <w:r>
        <w:t>The web client subscribes and invalidates affected TanStack Query keys → live cross-surface updates without polling.</w:t>
      </w:r>
    </w:p>
    <w:p/>
    <w:p>
      <w:pPr>
        <w:pStyle w:val="Heading2"/>
      </w:pPr>
      <w:r/>
      <w:r>
        <w:t>9. Evaluation Harness</w:t>
      </w:r>
    </w:p>
    <w:p>
      <w:pPr>
        <w:pStyle w:val="ListBullet"/>
      </w:pPr>
      <w:r>
        <w:t>Synthea-generated complex patients (diabetes + CHF + depression comorbidities).</w:t>
      </w:r>
    </w:p>
    <w:p>
      <w:pPr>
        <w:pStyle w:val="ListBullet"/>
      </w:pPr>
      <w:r>
        <w:t xml:space="preserve">Ground-truth care-gap labels in </w:t>
      </w:r>
      <w:r>
        <w:rPr>
          <w:rFonts w:ascii="Courier New" w:hAnsi="Courier New"/>
          <w:color w:val="B03060"/>
          <w:sz w:val="19"/>
        </w:rPr>
        <w:t>data/eval/labels.json</w:t>
      </w:r>
      <w:r>
        <w:t>.</w:t>
      </w:r>
    </w:p>
    <w:p>
      <w:pPr>
        <w:pStyle w:val="ListBullet"/>
      </w:pPr>
      <w:r>
        <w:rPr>
          <w:rFonts w:ascii="Courier New" w:hAnsi="Courier New"/>
          <w:color w:val="B03060"/>
          <w:sz w:val="19"/>
        </w:rPr>
        <w:t>npm run eval</w:t>
      </w:r>
      <w:r>
        <w:t xml:space="preserve"> scores agent output vs. labels (sensitivity/specificity); </w:t>
      </w:r>
      <w:r>
        <w:rPr>
          <w:rFonts w:ascii="Courier New" w:hAnsi="Courier New"/>
          <w:color w:val="B03060"/>
          <w:sz w:val="19"/>
        </w:rPr>
        <w:t>npm run review:render</w:t>
      </w:r>
      <w:r>
        <w:t xml:space="preserve"> renders a clinician review (</w:t>
      </w:r>
      <w:r>
        <w:rPr>
          <w:rFonts w:ascii="Courier New" w:hAnsi="Courier New"/>
          <w:color w:val="B03060"/>
          <w:sz w:val="19"/>
        </w:rPr>
        <w:t>docs/eval-clinician-review.html</w:t>
      </w:r>
      <w:r>
        <w:t xml:space="preserve">, </w:t>
      </w:r>
      <w:r>
        <w:rPr>
          <w:rFonts w:ascii="Courier New" w:hAnsi="Courier New"/>
          <w:color w:val="B03060"/>
          <w:sz w:val="19"/>
        </w:rPr>
        <w:t>docs/eval-report.md</w:t>
      </w:r>
      <w:r>
        <w:t>).</w:t>
      </w:r>
    </w:p>
    <w:p/>
    <w:p>
      <w:pPr>
        <w:pStyle w:val="Heading2"/>
      </w:pPr>
      <w:r/>
      <w:r>
        <w:t>10. Tech Stack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Choice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+ Express (TypeScript)</w:t>
            </w:r>
          </w:p>
        </w:tc>
      </w:tr>
      <w:tr>
        <w:tc>
          <w:tcPr>
            <w:tcW w:type="dxa" w:w="4320"/>
          </w:tcPr>
          <w:p>
            <w:r>
              <w:t>DB</w:t>
            </w:r>
          </w:p>
        </w:tc>
        <w:tc>
          <w:tcPr>
            <w:tcW w:type="dxa" w:w="4320"/>
          </w:tcPr>
          <w:p>
            <w:r>
              <w:t>SQLite (</w:t>
            </w:r>
            <w:r>
              <w:rPr>
                <w:rFonts w:ascii="Courier New" w:hAnsi="Courier New"/>
                <w:color w:val="B03060"/>
                <w:sz w:val="19"/>
              </w:rPr>
              <w:t>better-sqlite3</w:t>
            </w:r>
            <w:r>
              <w:t>) — app state only</w:t>
            </w:r>
          </w:p>
        </w:tc>
      </w:tr>
      <w:tr>
        <w:tc>
          <w:tcPr>
            <w:tcW w:type="dxa" w:w="4320"/>
          </w:tcPr>
          <w:p>
            <w:r>
              <w:t>FHIR server</w:t>
            </w:r>
          </w:p>
        </w:tc>
        <w:tc>
          <w:tcPr>
            <w:tcW w:type="dxa" w:w="4320"/>
          </w:tcPr>
          <w:p>
            <w:r>
              <w:t>HAPI FHIR R4 (Docker)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OpenAI (structured output; citation-enforced)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 + Vite + TypeScript</w:t>
            </w:r>
          </w:p>
        </w:tc>
      </w:tr>
      <w:tr>
        <w:tc>
          <w:tcPr>
            <w:tcW w:type="dxa" w:w="4320"/>
          </w:tcPr>
          <w:p>
            <w:r>
              <w:t>Routing / data</w:t>
            </w:r>
          </w:p>
        </w:tc>
        <w:tc>
          <w:tcPr>
            <w:tcW w:type="dxa" w:w="4320"/>
          </w:tcPr>
          <w:p>
            <w:r>
              <w:t>React Router v6, TanStack Query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TailwindCSS</w:t>
            </w:r>
          </w:p>
        </w:tc>
      </w:tr>
      <w:tr>
        <w:tc>
          <w:tcPr>
            <w:tcW w:type="dxa" w:w="4320"/>
          </w:tcPr>
          <w:p>
            <w:r>
              <w:t>Realtime</w:t>
            </w:r>
          </w:p>
        </w:tc>
        <w:tc>
          <w:tcPr>
            <w:tcW w:type="dxa" w:w="4320"/>
          </w:tcPr>
          <w:p>
            <w:r>
              <w:t>SSE + FHIR Subscriptions (rest-hook)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 xml:space="preserve">Vitest / Jest (unit), Playwright (E2E), </w:t>
            </w:r>
            <w:r>
              <w:rPr>
                <w:rFonts w:ascii="Courier New" w:hAnsi="Courier New"/>
                <w:color w:val="B03060"/>
                <w:sz w:val="19"/>
              </w:rPr>
              <w:t>oxlint</w:t>
            </w:r>
          </w:p>
        </w:tc>
      </w:tr>
    </w:tbl>
    <w:p/>
    <w:p>
      <w:pPr>
        <w:pStyle w:val="Heading2"/>
      </w:pPr>
      <w:r/>
      <w:r>
        <w:t>11. Local Development</w:t>
      </w:r>
    </w:p>
    <w:p>
      <w:pPr>
        <w:ind w:left="120"/>
      </w:pPr>
      <w:r>
        <w:rPr>
          <w:rFonts w:ascii="Courier New" w:hAnsi="Courier New"/>
          <w:sz w:val="18"/>
        </w:rPr>
        <w:t>npm install</w:t>
        <w:br/>
        <w:t>npm run fhir:up        # HAPI FHIR in Docker</w:t>
        <w:br/>
        <w:t>npm run migrate        # SQLite schema</w:t>
        <w:br/>
        <w:t>npm run seed           # demo users (director/coordinator/social worker)</w:t>
        <w:br/>
        <w:t>npm run fhir:import    # demo FHIR data (~500-patient cohort)</w:t>
        <w:br/>
        <w:t>npm run dev            # web :5173 · api :4000 · HAPI :8080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B03060"/>
                <w:sz w:val="19"/>
              </w:rPr>
              <w:t>http://localhost:5173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B03060"/>
                <w:sz w:val="19"/>
              </w:rPr>
              <w:t>http://localhost:4000</w:t>
            </w:r>
          </w:p>
        </w:tc>
      </w:tr>
      <w:tr>
        <w:tc>
          <w:tcPr>
            <w:tcW w:type="dxa" w:w="4320"/>
          </w:tcPr>
          <w:p>
            <w:r>
              <w:t>HAPI FHIR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color w:val="B03060"/>
                <w:sz w:val="19"/>
              </w:rPr>
              <w:t>http://localhost:8080/fhir</w:t>
            </w:r>
          </w:p>
        </w:tc>
      </w:tr>
    </w:tbl>
    <w:p/>
    <w:p>
      <w:pPr>
        <w:pStyle w:val="Heading2"/>
      </w:pPr>
      <w:r/>
      <w:r>
        <w:t>12. Design Principles</w:t>
      </w:r>
    </w:p>
    <w:p>
      <w:pPr>
        <w:pStyle w:val="ListBullet"/>
      </w:pPr>
      <w:r>
        <w:rPr>
          <w:b/>
        </w:rPr>
        <w:t>Every AI claim is traceable</w:t>
      </w:r>
      <w:r>
        <w:t xml:space="preserve"> to a FHIR resource; unverifiable claims are dropped, not shown.</w:t>
      </w:r>
    </w:p>
    <w:p>
      <w:pPr>
        <w:pStyle w:val="ListBullet"/>
      </w:pPr>
      <w:r>
        <w:rPr>
          <w:b/>
        </w:rPr>
        <w:t>Confidence is evidence-derived,</w:t>
      </w:r>
      <w:r>
        <w:t xml:space="preserve"> never model-asserted.</w:t>
      </w:r>
    </w:p>
    <w:p>
      <w:pPr>
        <w:pStyle w:val="ListBullet"/>
      </w:pPr>
      <w:r>
        <w:rPr>
          <w:b/>
        </w:rPr>
        <w:t>Standards over glue</w:t>
      </w:r>
      <w:r>
        <w:t xml:space="preserve"> — FHIR/SMART/CDS Hooks/Subscription do the interoperability work.</w:t>
      </w:r>
    </w:p>
    <w:p>
      <w:pPr>
        <w:pStyle w:val="ListBullet"/>
      </w:pPr>
      <w:r>
        <w:rPr>
          <w:b/>
        </w:rPr>
        <w:t>Live-vs-replay parity</w:t>
      </w:r>
      <w:r>
        <w:t xml:space="preserve"> — cached replays are byte-for-byte indistinguishable from live runs on the wire.</w:t>
      </w:r>
    </w:p>
    <w:p>
      <w:pPr>
        <w:pStyle w:val="ListBullet"/>
      </w:pPr>
      <w:r>
        <w:rPr>
          <w:b/>
        </w:rPr>
        <w:t>Defense in depth</w:t>
      </w:r>
      <w:r>
        <w:t xml:space="preserve"> — session auth + SMART scopes + role guards + audit on every data touch.</w:t>
      </w:r>
    </w:p>
    <w:p>
      <w:pPr>
        <w:pStyle w:val="ListBullet"/>
      </w:pPr>
      <w:r>
        <w:rPr>
          <w:b/>
        </w:rPr>
        <w:t>Honest staging</w:t>
      </w:r>
      <w:r>
        <w:t xml:space="preserve"> — demo/mock fallbacks are explicitly scoped and never fabricate identifiers.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